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06" w:rsidRPr="00830906" w:rsidRDefault="00830906" w:rsidP="00773C21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30906">
        <w:rPr>
          <w:color w:val="000000"/>
          <w:sz w:val="24"/>
          <w:szCs w:val="24"/>
          <w:lang w:eastAsia="ru-RU" w:bidi="ru-RU"/>
        </w:rPr>
        <w:t>Документация об аукционе</w:t>
      </w:r>
    </w:p>
    <w:p w:rsidR="008D7D0F" w:rsidRPr="008D7D0F" w:rsidRDefault="00763229" w:rsidP="00773C21">
      <w:pPr>
        <w:pStyle w:val="30"/>
        <w:shd w:val="clear" w:color="auto" w:fill="auto"/>
        <w:spacing w:after="240" w:line="240" w:lineRule="auto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 </w:t>
      </w:r>
      <w:r w:rsidR="00830906" w:rsidRPr="00830906">
        <w:rPr>
          <w:color w:val="000000"/>
          <w:sz w:val="24"/>
          <w:szCs w:val="24"/>
          <w:lang w:eastAsia="ru-RU" w:bidi="ru-RU"/>
        </w:rPr>
        <w:t>проведени</w:t>
      </w:r>
      <w:r>
        <w:rPr>
          <w:color w:val="000000"/>
          <w:sz w:val="24"/>
          <w:szCs w:val="24"/>
          <w:lang w:eastAsia="ru-RU" w:bidi="ru-RU"/>
        </w:rPr>
        <w:t>е</w:t>
      </w:r>
      <w:r w:rsidR="00830906" w:rsidRPr="00830906">
        <w:rPr>
          <w:color w:val="000000"/>
          <w:sz w:val="24"/>
          <w:szCs w:val="24"/>
          <w:lang w:eastAsia="ru-RU" w:bidi="ru-RU"/>
        </w:rPr>
        <w:t xml:space="preserve"> торгов в форме открытого аукциона</w:t>
      </w:r>
      <w:r>
        <w:rPr>
          <w:color w:val="000000"/>
          <w:sz w:val="24"/>
          <w:szCs w:val="24"/>
          <w:lang w:eastAsia="ru-RU" w:bidi="ru-RU"/>
        </w:rPr>
        <w:t xml:space="preserve"> на право</w:t>
      </w:r>
      <w:r w:rsidR="00830906" w:rsidRPr="00830906">
        <w:rPr>
          <w:color w:val="000000"/>
          <w:sz w:val="24"/>
          <w:szCs w:val="24"/>
          <w:lang w:eastAsia="ru-RU" w:bidi="ru-RU"/>
        </w:rPr>
        <w:t xml:space="preserve"> </w:t>
      </w:r>
      <w:r w:rsidR="008D7D0F" w:rsidRPr="00B50E29">
        <w:rPr>
          <w:spacing w:val="-4"/>
          <w:sz w:val="24"/>
          <w:szCs w:val="24"/>
          <w:lang w:eastAsia="ru-RU"/>
        </w:rPr>
        <w:t xml:space="preserve">заключения договора купли-продажи </w:t>
      </w:r>
      <w:r w:rsidR="008D7D0F" w:rsidRPr="00506A69">
        <w:rPr>
          <w:spacing w:val="-4"/>
          <w:sz w:val="24"/>
          <w:szCs w:val="24"/>
          <w:lang w:eastAsia="ru-RU"/>
        </w:rPr>
        <w:t xml:space="preserve">производственной базы, расположенной по адресу: Хабаровский край, пос. Эльбан, ул. Гаражная, д. 9, состоящей из административно-бытового корпуса площадью 406,4 кв.м, кадастровый или (условный) номер </w:t>
      </w:r>
      <w:r w:rsidR="00CA4150" w:rsidRPr="00CA4150">
        <w:rPr>
          <w:bCs w:val="0"/>
          <w:color w:val="343434"/>
          <w:sz w:val="24"/>
          <w:szCs w:val="24"/>
          <w:shd w:val="clear" w:color="auto" w:fill="FFFFFF"/>
        </w:rPr>
        <w:t xml:space="preserve">27:01:0000004:622 </w:t>
      </w:r>
      <w:r w:rsidR="008D7D0F" w:rsidRPr="00CA4150">
        <w:rPr>
          <w:spacing w:val="-4"/>
          <w:sz w:val="24"/>
          <w:szCs w:val="24"/>
          <w:lang w:eastAsia="ru-RU"/>
        </w:rPr>
        <w:t>и</w:t>
      </w:r>
      <w:r w:rsidR="008D7D0F" w:rsidRPr="00506A69">
        <w:rPr>
          <w:spacing w:val="-4"/>
          <w:sz w:val="24"/>
          <w:szCs w:val="24"/>
          <w:lang w:eastAsia="ru-RU"/>
        </w:rPr>
        <w:t xml:space="preserve"> гаражного бокса площадью 179 кв.м, кадастровый (условный) номер 27:01:0000004:619</w:t>
      </w:r>
      <w:r w:rsidR="008D7D0F">
        <w:rPr>
          <w:spacing w:val="-4"/>
          <w:sz w:val="24"/>
          <w:szCs w:val="24"/>
          <w:lang w:eastAsia="ru-RU"/>
        </w:rPr>
        <w:t>.</w:t>
      </w:r>
    </w:p>
    <w:p w:rsidR="004E4869" w:rsidRPr="00CA4150" w:rsidRDefault="004E4869" w:rsidP="00773C21">
      <w:pPr>
        <w:widowControl w:val="0"/>
        <w:numPr>
          <w:ilvl w:val="0"/>
          <w:numId w:val="1"/>
        </w:numPr>
        <w:tabs>
          <w:tab w:val="left" w:pos="102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E48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АО «Газпром газораспределение Дальний Восток» извещает о проведении открытого аукциона на право заключения договора купли-продажи производственной базы, расположенной по адресу: Хабаровский край, пос. Эльбан, ул. Гаражная, д. 9, состоящей из </w:t>
      </w:r>
      <w:r w:rsidRPr="00CA41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административно-бытового корпуса площадью 406,4 кв.м, кадастровый номер </w:t>
      </w:r>
      <w:r w:rsidR="00CA4150" w:rsidRPr="00CA415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27:01:0000004:622</w:t>
      </w:r>
      <w:r w:rsidR="00CA4150" w:rsidRPr="00CA4150">
        <w:rPr>
          <w:rFonts w:ascii="Arial" w:hAnsi="Arial" w:cs="Arial"/>
          <w:b/>
          <w:bCs/>
          <w:color w:val="343434"/>
          <w:sz w:val="24"/>
          <w:szCs w:val="24"/>
          <w:shd w:val="clear" w:color="auto" w:fill="FFFFFF"/>
        </w:rPr>
        <w:t xml:space="preserve"> </w:t>
      </w:r>
      <w:r w:rsidRPr="00CA41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гаражного бокса площадью 179 кв.м, кадастровый (условный) номер 27:01:0000004:619.</w:t>
      </w:r>
    </w:p>
    <w:p w:rsidR="00DC0FFA" w:rsidRPr="00DC0FFA" w:rsidRDefault="00830906" w:rsidP="00773C21">
      <w:pPr>
        <w:widowControl w:val="0"/>
        <w:numPr>
          <w:ilvl w:val="0"/>
          <w:numId w:val="1"/>
        </w:numPr>
        <w:tabs>
          <w:tab w:val="left" w:pos="102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Техническое состояние</w:t>
      </w:r>
      <w:r w:rsidR="00DC0F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C0FFA" w:rsidRPr="00DC0FFA" w:rsidRDefault="00DC0FFA" w:rsidP="00773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F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DC0FFA">
        <w:rPr>
          <w:rFonts w:ascii="Times New Roman" w:hAnsi="Times New Roman" w:cs="Times New Roman"/>
          <w:sz w:val="24"/>
          <w:szCs w:val="24"/>
        </w:rPr>
        <w:t xml:space="preserve">Производственное здание, назначение: нежилое здание, площадь 406,4 кв.м, количество этажей: 1 этаж, </w:t>
      </w:r>
      <w:r w:rsidRPr="00DC0FFA">
        <w:rPr>
          <w:rFonts w:ascii="Times New Roman" w:hAnsi="Times New Roman" w:cs="Times New Roman"/>
          <w:sz w:val="24"/>
          <w:szCs w:val="24"/>
        </w:rPr>
        <w:lastRenderedPageBreak/>
        <w:t>год постройки -1965 (принято к учету 30.11.1995). Фундамент (наличие и его конструкция) - бетонный ленточный. Покрытия сооружений- кирпичные оштукатуренные. Перекрытия сооружений - железобетонные плиты. Материал наружных стен - кирпичные оштукатуренные.</w:t>
      </w:r>
    </w:p>
    <w:p w:rsidR="00DC0FFA" w:rsidRPr="00DC0FFA" w:rsidRDefault="00DC0FFA" w:rsidP="00773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FFA">
        <w:rPr>
          <w:rFonts w:ascii="Times New Roman" w:hAnsi="Times New Roman" w:cs="Times New Roman"/>
          <w:sz w:val="24"/>
          <w:szCs w:val="24"/>
        </w:rPr>
        <w:t>- Гаражный бокс, назначение: нежилое здание, площадь 179 кв.</w:t>
      </w:r>
      <w:r w:rsidR="00FA0147">
        <w:rPr>
          <w:rFonts w:ascii="Times New Roman" w:hAnsi="Times New Roman" w:cs="Times New Roman"/>
          <w:sz w:val="24"/>
          <w:szCs w:val="24"/>
        </w:rPr>
        <w:t xml:space="preserve"> </w:t>
      </w:r>
      <w:r w:rsidRPr="00DC0FFA">
        <w:rPr>
          <w:rFonts w:ascii="Times New Roman" w:hAnsi="Times New Roman" w:cs="Times New Roman"/>
          <w:sz w:val="24"/>
          <w:szCs w:val="24"/>
        </w:rPr>
        <w:t>м, количество этажей: 1 этаж, год постройки -1965 (принято к учету 30.11.1995). Фундамент (наличие и его конструкция) - бетонный ленточный. Покрытия сооружений- кирпичные оштукатуренные. Перекрытия сооружений - железобетонные плиты. Материал наружных стен - кирпичные оштукатуренные.</w:t>
      </w:r>
    </w:p>
    <w:p w:rsidR="00830906" w:rsidRPr="00404805" w:rsidRDefault="00830906" w:rsidP="00773C21">
      <w:pPr>
        <w:widowControl w:val="0"/>
        <w:numPr>
          <w:ilvl w:val="0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Начальная (минимальная) цена </w:t>
      </w:r>
      <w:r w:rsidRPr="008D0EAB">
        <w:rPr>
          <w:rFonts w:ascii="Times New Roman" w:hAnsi="Times New Roman" w:cs="Times New Roman"/>
          <w:sz w:val="24"/>
          <w:szCs w:val="24"/>
          <w:lang w:eastAsia="ru-RU" w:bidi="ru-RU"/>
        </w:rPr>
        <w:t>продажи:</w:t>
      </w:r>
      <w:r w:rsidR="0082729E" w:rsidRPr="008D0EA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установлена на основании отчетов</w:t>
      </w:r>
      <w:r w:rsidR="00287D04" w:rsidRPr="008D0EA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ООО «Профессиональная оценка» </w:t>
      </w:r>
      <w:r w:rsidRPr="008D0EAB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 w:rsidR="00C400D0" w:rsidRPr="008D0EAB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 w:rsidRPr="008D0EA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2729E" w:rsidRPr="008D0EAB">
        <w:rPr>
          <w:rFonts w:ascii="Times New Roman" w:hAnsi="Times New Roman" w:cs="Times New Roman"/>
          <w:sz w:val="24"/>
          <w:szCs w:val="24"/>
          <w:lang w:eastAsia="ru-RU" w:bidi="ru-RU"/>
        </w:rPr>
        <w:t>212-Р, 213-Р</w:t>
      </w:r>
      <w:r w:rsidRPr="008D0EA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 w:rsidR="00287D04" w:rsidRPr="008D0EA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Договор </w:t>
      </w:r>
      <w:r w:rsidR="00404805" w:rsidRPr="008D0EAB">
        <w:rPr>
          <w:rFonts w:ascii="Times New Roman" w:hAnsi="Times New Roman" w:cs="Times New Roman"/>
          <w:sz w:val="24"/>
          <w:szCs w:val="24"/>
          <w:lang w:eastAsia="ru-RU" w:bidi="ru-RU"/>
        </w:rPr>
        <w:t>на оказание услуг на проведение оценки №</w:t>
      </w:r>
      <w:r w:rsidR="00287D04" w:rsidRPr="008D0EA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04805" w:rsidRPr="008D0EAB">
        <w:rPr>
          <w:rFonts w:ascii="Times New Roman" w:hAnsi="Times New Roman" w:cs="Times New Roman"/>
          <w:sz w:val="24"/>
          <w:szCs w:val="24"/>
          <w:lang w:eastAsia="ru-RU" w:bidi="ru-RU"/>
        </w:rPr>
        <w:t>08-08/04 от 12 января 2017 г.</w:t>
      </w:r>
      <w:r w:rsidRPr="008D0EA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и составляет </w:t>
      </w:r>
      <w:r w:rsidR="005E4C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1 322 78</w:t>
      </w:r>
      <w:r w:rsidR="00287D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4048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руб. </w:t>
      </w:r>
      <w:r w:rsidR="00C400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5E4C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т.ч.</w:t>
      </w:r>
      <w:r w:rsidR="00287D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НДС</w:t>
      </w:r>
      <w:r w:rsidR="005E4C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201 780 руб.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Требования, которые предъявляются к участникам аукциона, и в соответствии с которыми проводится 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предварительный отбор участников аукциона.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130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настоящем аукционе может принять участие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122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Заявитель должен соответствовать следующим требованиям:</w:t>
      </w:r>
    </w:p>
    <w:p w:rsidR="00830906" w:rsidRPr="00830906" w:rsidRDefault="00830906" w:rsidP="00773C21">
      <w:pPr>
        <w:widowControl w:val="0"/>
        <w:numPr>
          <w:ilvl w:val="0"/>
          <w:numId w:val="2"/>
        </w:numPr>
        <w:tabs>
          <w:tab w:val="left" w:pos="678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</w:t>
      </w:r>
      <w:r w:rsidR="00DA2C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овать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требованиям, устанавливаемым законодательством Российской Федерации к лицам, осуществляющим экономическую деятельность;</w:t>
      </w:r>
    </w:p>
    <w:p w:rsidR="00830906" w:rsidRPr="00830906" w:rsidRDefault="00830906" w:rsidP="00773C21">
      <w:pPr>
        <w:widowControl w:val="0"/>
        <w:numPr>
          <w:ilvl w:val="0"/>
          <w:numId w:val="2"/>
        </w:numPr>
        <w:tabs>
          <w:tab w:val="left" w:pos="725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имущество заявителя не наложен арест;</w:t>
      </w:r>
    </w:p>
    <w:p w:rsidR="00830906" w:rsidRPr="00830906" w:rsidRDefault="00943212" w:rsidP="00773C21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 - юридическое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430E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находится в стадии ликвидации </w:t>
      </w:r>
      <w:r w:rsidR="00DA2C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отсутствует решение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Арбитражного суда о признании заявителя - юридического лица, индивидуал</w:t>
      </w:r>
      <w:r w:rsidR="00AD49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ьного предпринимателя банкротом, а также 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открытии конкурсного производства;</w:t>
      </w:r>
    </w:p>
    <w:p w:rsidR="00830906" w:rsidRPr="00830906" w:rsidRDefault="00846BAF" w:rsidP="00773C21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заявителя 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приостановлен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Перечень документов, материалов и формы их предоставления заявителями, участниками аукциона.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46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Заявка, подготовленная участником, должна содержать документы и формы, предусмотренные настоящей документацией об аукционе.</w:t>
      </w:r>
    </w:p>
    <w:p w:rsidR="00830906" w:rsidRPr="00260D0F" w:rsidRDefault="00936296" w:rsidP="00773C21">
      <w:pPr>
        <w:widowControl w:val="0"/>
        <w:numPr>
          <w:ilvl w:val="1"/>
          <w:numId w:val="1"/>
        </w:numPr>
        <w:tabs>
          <w:tab w:val="left" w:pos="105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30906" w:rsidRPr="00260D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Документация, представляемая участником аукциона, </w:t>
      </w:r>
      <w:r w:rsidR="00260D0F" w:rsidRPr="00260D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том числе </w:t>
      </w:r>
      <w:r w:rsidR="00830906" w:rsidRPr="00260D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должна содержать документы и формы, предусмотренные настоящим разделом:</w:t>
      </w:r>
    </w:p>
    <w:p w:rsidR="00A16814" w:rsidRPr="00A16814" w:rsidRDefault="00830906" w:rsidP="00773C21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68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1 «Опись документов, представл</w:t>
      </w:r>
      <w:r w:rsidR="00AA4D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яемых к заявке» (приложение № 1</w:t>
      </w:r>
      <w:r w:rsidRPr="00A168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документации об аукционе</w:t>
      </w:r>
      <w:r w:rsidR="00AA4D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A16814" w:rsidRPr="00A168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B7C35" w:rsidRPr="00CB7C35" w:rsidRDefault="00830906" w:rsidP="00773C21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B7C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AA4D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орма 2 «Заявка» (приложение № 2 к документации об аукционе).</w:t>
      </w:r>
    </w:p>
    <w:p w:rsidR="00830906" w:rsidRPr="00CB7C35" w:rsidRDefault="00830906" w:rsidP="00773C21">
      <w:pPr>
        <w:widowControl w:val="0"/>
        <w:numPr>
          <w:ilvl w:val="1"/>
          <w:numId w:val="1"/>
        </w:numPr>
        <w:tabs>
          <w:tab w:val="left" w:pos="1276"/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C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Заявка на участие в аукционе оформляется на русском языке в письменной форме в </w:t>
      </w:r>
      <w:r w:rsidR="008D0E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одном</w:t>
      </w:r>
      <w:r w:rsidRPr="00CB7C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экземпляр</w:t>
      </w:r>
      <w:r w:rsidR="004B5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B7C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B5CF7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удостоверенн</w:t>
      </w:r>
      <w:r w:rsidR="004B5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="004B5CF7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подписью заявителя</w:t>
      </w:r>
      <w:r w:rsidRPr="00CB7C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0906" w:rsidRPr="00830906" w:rsidRDefault="00830906" w:rsidP="007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заявке на участие в аукционе прилагается удостоверенная подписью заявителя опись представленных им документов и материалов.</w:t>
      </w:r>
    </w:p>
    <w:p w:rsidR="00830906" w:rsidRPr="00830906" w:rsidRDefault="00830906" w:rsidP="00773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Участнику по его требованию выдается расписка </w:t>
      </w:r>
      <w:r w:rsidR="004B5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получении заявк</w:t>
      </w:r>
      <w:r w:rsidR="004B5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на участие в аукционе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указанием даты и времени его получения.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1134"/>
          <w:tab w:val="left" w:pos="144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Сообщение о проведении аукциона размещается в сети Ин</w:t>
      </w:r>
      <w:r w:rsidR="003E35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тернет на официальном Интернет-портал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 АО «Газпром газораспределение Дальний Восток» </w:t>
      </w:r>
      <w:hyperlink r:id="rId5" w:history="1">
        <w:r w:rsidRPr="00830906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830906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830906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gazdv</w:t>
        </w:r>
        <w:r w:rsidRPr="00830906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830906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83090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также опубликовывается в региональных газетах г. Хабаровска, </w:t>
      </w:r>
      <w:r w:rsidR="00CE10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3E35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Комсомольск</w:t>
      </w:r>
      <w:r w:rsidR="001979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3E35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-на-Амуре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г. </w:t>
      </w:r>
      <w:r w:rsidR="003E35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Амурск</w:t>
      </w:r>
      <w:r w:rsidR="001979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1134"/>
          <w:tab w:val="left" w:pos="144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предоставления заявки на участие в аукционе и требования, предъявляемые к ним.</w:t>
      </w:r>
    </w:p>
    <w:p w:rsidR="00830906" w:rsidRPr="004B5CF7" w:rsidRDefault="00830906" w:rsidP="00773C21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и документы о заявителе, подавшем заявку:</w:t>
      </w:r>
    </w:p>
    <w:p w:rsidR="00830906" w:rsidRPr="00830906" w:rsidRDefault="00830906" w:rsidP="00773C21">
      <w:pPr>
        <w:tabs>
          <w:tab w:val="left" w:pos="735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фирменное наименование (наименование), сведения об организационно-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830906" w:rsidRPr="00830906" w:rsidRDefault="00830906" w:rsidP="00773C21">
      <w:pPr>
        <w:tabs>
          <w:tab w:val="left" w:pos="740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полученную не ранее чем за шесть месяцев до даты размещения на официальном сайте торгов извещения о проведении аукциона</w:t>
      </w:r>
      <w:r w:rsidR="000543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выписку из единого государственного реестра юридических лиц или нотариально заверенную копию такой выписки (для юридиче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ских лиц),</w:t>
      </w:r>
      <w:r w:rsidR="00FD1F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</w:t>
      </w:r>
      <w:r w:rsidR="004F7B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F7B05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полученную не ранее чем за шесть месяцев до даты размещения на официальном сайте торгов извещения о проведении аукциона</w:t>
      </w:r>
      <w:r w:rsidR="004F7B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копии документов, удостоверяющих личность (для иных физических лиц);</w:t>
      </w:r>
    </w:p>
    <w:p w:rsidR="00830906" w:rsidRPr="00830906" w:rsidRDefault="00830906" w:rsidP="00773C21">
      <w:pPr>
        <w:tabs>
          <w:tab w:val="left" w:pos="754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заявителя: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30906" w:rsidRPr="00830906" w:rsidRDefault="00830906" w:rsidP="00773C21">
      <w:pPr>
        <w:tabs>
          <w:tab w:val="left" w:pos="754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копии учредительных документов заявителя (для юридических лиц);</w:t>
      </w:r>
    </w:p>
    <w:p w:rsidR="00830906" w:rsidRPr="00830906" w:rsidRDefault="00830906" w:rsidP="00773C21">
      <w:pPr>
        <w:tabs>
          <w:tab w:val="left" w:pos="740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заявление об отсутствии решения о ликвидации заявителя - юридического лица, об отсутствия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30906" w:rsidRPr="00830906" w:rsidRDefault="00830906" w:rsidP="00773C21">
      <w:pPr>
        <w:tabs>
          <w:tab w:val="left" w:pos="750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="00D039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письменное решение соответствующего органа управления претендента (юридического лица) разрешающего приобретение имущества (если это требуется в соответствии с учредительными документами);</w:t>
      </w:r>
    </w:p>
    <w:p w:rsidR="00830906" w:rsidRPr="00830906" w:rsidRDefault="00D039A0" w:rsidP="00773C21">
      <w:pPr>
        <w:tabs>
          <w:tab w:val="left" w:pos="783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ж) 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паспорта или копия иного удостоверения личности, нотариально удостоверенное согласие супруга на совершение сделки (для физических лиц);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874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Заявитель вправе подать только одну заявку на участие в аукционе.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889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заявок на участие в аукционе прекращается за день до </w:t>
      </w:r>
      <w:r w:rsidR="000D1D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проведения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аукцион</w:t>
      </w:r>
      <w:r w:rsidR="000D1D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879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могут быть впечатаны в формы; допускается заполнять формы от руки печатными буквами синими, черными или фиолетовыми чернилами.</w:t>
      </w:r>
    </w:p>
    <w:p w:rsidR="00830906" w:rsidRPr="00830906" w:rsidRDefault="00A8355B" w:rsidP="00773C21">
      <w:pPr>
        <w:widowControl w:val="0"/>
        <w:numPr>
          <w:ilvl w:val="1"/>
          <w:numId w:val="1"/>
        </w:numPr>
        <w:tabs>
          <w:tab w:val="left" w:pos="879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Документы, входящие в состав оригинала заявки, предоставляются в оригинале либо в заверенных надлежащим образом копиях.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документа считается надлежаще заверенной, в случае если она заверена на каждой странице подписью участника - индивидуального предпринимателя, либо подписью руководителя участника - юридического лица и скреплена печатью участника (в случае ее наличия).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Использование фак</w:t>
      </w:r>
      <w:r w:rsidR="000D1D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симиле недопустимо, в противном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случае такие документы считаются не имеющими юридической силы.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Документы, входящие в состав оригинала заявки, предоставленные с нарушением данных требований, не будут иметь юридической силы.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страницы экземпляра-оригинала заявки должны б</w:t>
      </w:r>
      <w:r w:rsidR="00D652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ыт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 пронумерованы. Документы, включенные в заявку, представляются в прошитом нитью (бечевкой), скрепленном печатью участника (в случае ее наличия) и подписью уполномоченного лица участника одним томом с указанием на обороте последнего листа заявки количества страниц.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3B36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копии описи представленных заявителем документов и материалов делается отметка о дате и времени представления заявки на участие в аукционе с указанием номера этой заявки.</w:t>
      </w:r>
    </w:p>
    <w:p w:rsidR="00830906" w:rsidRPr="00830906" w:rsidRDefault="00601CBE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Заявка н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частие в аукционе, представленная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аукционную комиссию по истечении срока представления заявок на участие в аукционе, 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рассматривается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возвращается представившему ее заявителю вместе с описью представленных им документов и материалов, на 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которой делается отметка об отказе в принятии заявки на участие в аукционе.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Заявитель вправе изменить или отозвать свою заявку на участие в аукционе в любое время до</w:t>
      </w:r>
      <w:r w:rsidR="00601C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срока принятия заявок на участие в аукционе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Изменение в заявку должно быть подготовлено, маркировано и доставлено в соответствии с разделом 5 и 7 настоящей документацией об аукционе.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Изменения в заявку оформляются в форме изменений (дополнений) в отдельные пункты заявки либо в виде новой редакции заявки.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Изменение заявки на участие в аукционе или уведомление об ее отзыве считается действительным, если такое изменение или такое уведомление поступило в аукционную комиссию до истечения срока представления заявок на участие в аукционе.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766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и срок предоставления заявок на участие в аукционе.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Прием заявок на участие в аукционе осуществляется с 08 ч. 00 мин. «</w:t>
      </w:r>
      <w:r w:rsidR="004D1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14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D039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до 17 ч. 00 мин. «</w:t>
      </w:r>
      <w:r w:rsidR="00356B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ежедневно (обед с 12 ч. 00 мин. до 13 ч. 00 мин.), кроме выходных и праздничных дней, в каб. 304 по адресу: г. Хабаровск ул. Брестская, д.</w:t>
      </w:r>
      <w:r w:rsidR="006B7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51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6268B" w:rsidRPr="0036268B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аукциона: </w:t>
      </w:r>
      <w:r w:rsidR="0036268B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10 ч. 00 мин. «</w:t>
      </w:r>
      <w:r w:rsidR="00356B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25</w:t>
      </w:r>
      <w:r w:rsidR="0036268B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 w:rsidR="0036268B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4D1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36268B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г.,</w:t>
      </w:r>
      <w:r w:rsidR="004D1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каб. 415</w:t>
      </w:r>
      <w:r w:rsidR="0036268B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r w:rsidR="0036268B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г. Хабаровск, ул. Брестская, д. 51.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766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Порядок, место и срок предоставления документации об аукционе.</w:t>
      </w:r>
    </w:p>
    <w:p w:rsidR="003C0D2E" w:rsidRDefault="00830906" w:rsidP="00773C21">
      <w:pPr>
        <w:widowControl w:val="0"/>
        <w:numPr>
          <w:ilvl w:val="1"/>
          <w:numId w:val="1"/>
        </w:numPr>
        <w:tabs>
          <w:tab w:val="left" w:pos="8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Документация об аукционе предоставляетс</w:t>
      </w:r>
      <w:r w:rsid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любому заинтересованному лицу</w:t>
      </w:r>
      <w:r w:rsidR="0018679F"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18679F"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08 ч. 00 мин. 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4D1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14</w:t>
      </w:r>
      <w:r w:rsidR="0048025F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="0048025F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48025F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="006B7391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6B7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8679F"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1</w:t>
      </w:r>
      <w:r w:rsidR="004D1E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18679F"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ч. 00 мин. </w:t>
      </w:r>
      <w:r w:rsidR="0048025F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B18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162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48025F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 w:rsidR="0048025F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48025F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="006B7391" w:rsidRPr="003626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8679F"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обед с 12 ч. 00 мин. до 13 ч. 00 мин., кроме выходных и праздничных дней, в г. Хабаровске по адресу: </w:t>
      </w:r>
      <w:r w:rsidR="00480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="0018679F"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ул. Брестская, д.51, каб. 304; в г. Комсомольск-на-Амуре, по адресу: ул. Гаражная, 89А, каб. 207, в г. Амурск, по адресу: ул. Западное шоссе, 28, каб.</w:t>
      </w:r>
      <w:r w:rsidR="00260D0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8679F"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</w:p>
    <w:p w:rsidR="00501DD2" w:rsidRPr="0018679F" w:rsidRDefault="00501DD2" w:rsidP="00773C21">
      <w:pPr>
        <w:widowControl w:val="0"/>
        <w:numPr>
          <w:ilvl w:val="1"/>
          <w:numId w:val="1"/>
        </w:numPr>
        <w:tabs>
          <w:tab w:val="left" w:pos="8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Шаг торгов  –</w:t>
      </w:r>
      <w:r w:rsidR="004B5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867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5% от начальной цены Имущества.</w:t>
      </w:r>
    </w:p>
    <w:p w:rsidR="00830906" w:rsidRPr="00742EC3" w:rsidRDefault="00830906" w:rsidP="00773C2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42E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Размер задатка - 10 % от начальной цены имущества.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Документация об аукционе разме</w:t>
      </w:r>
      <w:r w:rsidR="00B15E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ается на официальном Интернет-портале </w:t>
      </w:r>
      <w:r w:rsidR="00501D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АО «Газпром газораспределение Дальний Восток» </w:t>
      </w:r>
      <w:hyperlink r:id="rId6" w:history="1">
        <w:r w:rsidRPr="00830906">
          <w:rPr>
            <w:rStyle w:val="a3"/>
            <w:rFonts w:ascii="Times New Roman" w:hAnsi="Times New Roman" w:cs="Times New Roman"/>
            <w:sz w:val="24"/>
            <w:szCs w:val="24"/>
          </w:rPr>
          <w:t>www.gazdv.ru</w:t>
        </w:r>
      </w:hyperlink>
      <w:r w:rsidRPr="00830906">
        <w:rPr>
          <w:rStyle w:val="20"/>
          <w:rFonts w:eastAsiaTheme="minorHAnsi"/>
          <w:sz w:val="24"/>
          <w:szCs w:val="24"/>
          <w:lang w:val="ru-RU"/>
        </w:rPr>
        <w:t>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889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Аукционная комиссия обязана на основании поданного в письменной форме заявления любого заинтересованного лица предоставлять такому лицу документацию об аукционе.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предоставления разъяснений положений документации об аукционе.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1004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Заявители или их представители вправе присутствовать при вскрытии конвертов с заявками на участие в аукционе.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вскрытии конвертов с заявками на участие в аукционе объявляются и заносятся в протокол вскрытия конвертов с заявками на участие в аукционе наименование (для юридического лица), фамилия, имя, отчество (для физического лица) и почтовый адрес каждого заявителя, конверт с заявкой на участие в аукционе, которого вскрывается, наличие сведений и документов, предусмотренных документацией об аукционе.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</w:t>
      </w:r>
      <w:r w:rsidR="001C5E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формация о признании аукциона не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состоявшимся.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вскрытия конвертов с заявками на участие в аукционе ведется аукционной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аукциона на официальном сайте Общества в течение дня, следующего за днем его подписания.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Порядок рассмотрения заявок на участие в аукционе.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1009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1004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1004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30906" w:rsidRPr="00830906" w:rsidRDefault="00830906" w:rsidP="00773C2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Аукцион проводится путём повышения начальной (минимальной) цены договора (цены лота), указанной в извещении о проведении аукциона, на «шаг аукциона». В случае если после троекратного объявления послед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него предложения о цене договора ни один из участников аукциона не заявил о своём намерении предложить более высокую цену договора, аукционист обязан снизить «шаг аукциона» на 0,5 % начальной (минимальной) цены договора (цены лота), но не ниже 0,5% начальной (минимальной) цены договора (цены лота).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1038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Аукцион проводится в следующем порядке:</w:t>
      </w:r>
    </w:p>
    <w:p w:rsidR="00830906" w:rsidRPr="00830906" w:rsidRDefault="00830906" w:rsidP="00773C21">
      <w:pPr>
        <w:widowControl w:val="0"/>
        <w:numPr>
          <w:ilvl w:val="0"/>
          <w:numId w:val="3"/>
        </w:numPr>
        <w:tabs>
          <w:tab w:val="left" w:pos="763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аукционная комиссия регистрирует явившихся на аукцион участников аукциона (их представителей) и выдаёт им пронумерованные карточки.</w:t>
      </w:r>
    </w:p>
    <w:p w:rsidR="00830906" w:rsidRPr="00830906" w:rsidRDefault="00830906" w:rsidP="00773C21">
      <w:pPr>
        <w:widowControl w:val="0"/>
        <w:numPr>
          <w:ilvl w:val="0"/>
          <w:numId w:val="3"/>
        </w:numPr>
        <w:tabs>
          <w:tab w:val="left" w:pos="763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 аукциона после объявления аукционной начальной (минимальной)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830906" w:rsidRPr="00830906" w:rsidRDefault="00976C7B" w:rsidP="00773C21">
      <w:pPr>
        <w:widowControl w:val="0"/>
        <w:numPr>
          <w:ilvl w:val="0"/>
          <w:numId w:val="3"/>
        </w:numPr>
        <w:tabs>
          <w:tab w:val="left" w:pos="763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после т</w:t>
      </w:r>
      <w:r w:rsidR="00830906"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роекратного объявления аукционистом цены договора ни один участник не поднял карточку, аукцион считается законченным.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Победителем аукциона признаётся лицо, предложившее наиболее высокую цену договора.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по результатам аукциона составляется 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двух экземплярах, один из которых остаётся у организатора аукциона, второй передаётся: победителю аукциона и размещается на сайте АО «Газпром газораспределение Дальний Восток» в течение дня, следующего за днём подписания указанного протокола.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Заключение договора по результатам проведения аукциона.</w:t>
      </w:r>
    </w:p>
    <w:p w:rsidR="00830906" w:rsidRPr="00830906" w:rsidRDefault="00830906" w:rsidP="00773C21">
      <w:pPr>
        <w:widowControl w:val="0"/>
        <w:numPr>
          <w:ilvl w:val="1"/>
          <w:numId w:val="1"/>
        </w:numPr>
        <w:tabs>
          <w:tab w:val="left" w:pos="999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Заключение договора купли-продажи по результатам проведения аукциона осуществляется не позднее 20 </w:t>
      </w:r>
      <w:r w:rsidR="00A86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рабочих 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дней со дня размещения информации о результатах аукциона на официальном сайте.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Организатор аукциона вправе внести изменения в Извещение и (или) документацию об аукционе (за исключением изменения предмета аукциона) н</w:t>
      </w:r>
      <w:r w:rsidR="00A86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позднее последнего рабочего дня перед датой окончания приема Заявок. В любое время не позднее последнего рабочего дня перед датой проведения аукциона Организатор аукциона вправе перенести на более поздний срок дату принятия решения о допуске или об отказе в допуске Претендентов к участию в аукционе, дату уведомления Претендентов о таком решении и (или) дату проведения </w:t>
      </w: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аукциона, дату оформления протокола об итогах аукциона, объявления Победителя и заключения Договора купли-продажи.</w:t>
      </w:r>
    </w:p>
    <w:p w:rsidR="00830906" w:rsidRPr="00830906" w:rsidRDefault="00830906" w:rsidP="0077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внесении изменений в документацию об аукционе Претенденты уведомляются о таких изменениях в письменной форме в 2-х дневный срок. При внесении изменений в Извещение текст таких изменений публикуется в тех же средствах массовой информации и Интернет- сайтах, в которых было опубликовано Извещение.</w:t>
      </w:r>
    </w:p>
    <w:p w:rsidR="00830906" w:rsidRPr="00830906" w:rsidRDefault="00830906" w:rsidP="00773C21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Любые изменения, внесенные в Извещение и (или) документацию об аукционе в установленном порядке, являются неотъемлемой частью Извещения и документации об аукционе.</w:t>
      </w:r>
    </w:p>
    <w:p w:rsidR="00830906" w:rsidRPr="00830906" w:rsidRDefault="00830906" w:rsidP="00773C21">
      <w:pPr>
        <w:widowControl w:val="0"/>
        <w:numPr>
          <w:ilvl w:val="0"/>
          <w:numId w:val="1"/>
        </w:numPr>
        <w:tabs>
          <w:tab w:val="left" w:pos="845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8309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 вправе отказаться от проведения торгов не позднее чем за пять дней до даты окончания срока подачи заявок на участие в аукционе. Извещение об отказе от проведения торгов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B90953" w:rsidRPr="00830906" w:rsidRDefault="00BB48D6" w:rsidP="00E9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0953" w:rsidRPr="00830906">
      <w:pgSz w:w="11900" w:h="16840"/>
      <w:pgMar w:top="1146" w:right="786" w:bottom="1388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5072"/>
    <w:multiLevelType w:val="multilevel"/>
    <w:tmpl w:val="FAB6A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A65C6"/>
    <w:multiLevelType w:val="multilevel"/>
    <w:tmpl w:val="5CEC2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40589"/>
    <w:multiLevelType w:val="multilevel"/>
    <w:tmpl w:val="F6B29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4"/>
    <w:rsid w:val="00054366"/>
    <w:rsid w:val="000D1DA9"/>
    <w:rsid w:val="00102696"/>
    <w:rsid w:val="0018679F"/>
    <w:rsid w:val="001979AA"/>
    <w:rsid w:val="001C5ED9"/>
    <w:rsid w:val="00260D0F"/>
    <w:rsid w:val="00287D04"/>
    <w:rsid w:val="002A30A7"/>
    <w:rsid w:val="00356B81"/>
    <w:rsid w:val="0036268B"/>
    <w:rsid w:val="003B36E1"/>
    <w:rsid w:val="003C0D2E"/>
    <w:rsid w:val="003E2179"/>
    <w:rsid w:val="003E35E1"/>
    <w:rsid w:val="003E66B4"/>
    <w:rsid w:val="00404805"/>
    <w:rsid w:val="00430E29"/>
    <w:rsid w:val="00431244"/>
    <w:rsid w:val="004555D4"/>
    <w:rsid w:val="0048025F"/>
    <w:rsid w:val="00486CDA"/>
    <w:rsid w:val="004B5CF7"/>
    <w:rsid w:val="004D1E95"/>
    <w:rsid w:val="004E4869"/>
    <w:rsid w:val="004F7B05"/>
    <w:rsid w:val="00501DD2"/>
    <w:rsid w:val="005E4C0E"/>
    <w:rsid w:val="00601CBE"/>
    <w:rsid w:val="006B18F2"/>
    <w:rsid w:val="006B7391"/>
    <w:rsid w:val="00742EC3"/>
    <w:rsid w:val="00763229"/>
    <w:rsid w:val="00773C21"/>
    <w:rsid w:val="0082729E"/>
    <w:rsid w:val="00830906"/>
    <w:rsid w:val="00846BAF"/>
    <w:rsid w:val="008D0EAB"/>
    <w:rsid w:val="008D7D0F"/>
    <w:rsid w:val="00936296"/>
    <w:rsid w:val="00943212"/>
    <w:rsid w:val="00976C7B"/>
    <w:rsid w:val="00A162E1"/>
    <w:rsid w:val="00A16814"/>
    <w:rsid w:val="00A8355B"/>
    <w:rsid w:val="00A86823"/>
    <w:rsid w:val="00AA4D4D"/>
    <w:rsid w:val="00AD4974"/>
    <w:rsid w:val="00B01FF4"/>
    <w:rsid w:val="00B15E4F"/>
    <w:rsid w:val="00BB48D6"/>
    <w:rsid w:val="00C33E48"/>
    <w:rsid w:val="00C400D0"/>
    <w:rsid w:val="00CA4150"/>
    <w:rsid w:val="00CB7C35"/>
    <w:rsid w:val="00CE106A"/>
    <w:rsid w:val="00D039A0"/>
    <w:rsid w:val="00D15F64"/>
    <w:rsid w:val="00D652C7"/>
    <w:rsid w:val="00DA2CBE"/>
    <w:rsid w:val="00DC0FFA"/>
    <w:rsid w:val="00E90388"/>
    <w:rsid w:val="00F170CA"/>
    <w:rsid w:val="00F44D0C"/>
    <w:rsid w:val="00FA014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655C-D3FB-470A-A4B3-C3161E5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90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09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30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Малые прописные"/>
    <w:basedOn w:val="2"/>
    <w:rsid w:val="008309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"/>
    <w:basedOn w:val="2"/>
    <w:rsid w:val="00830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3090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DC0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dv.ru" TargetMode="External"/><Relationship Id="rId5" Type="http://schemas.openxmlformats.org/officeDocument/2006/relationships/hyperlink" Target="http://www.gaz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Екатерина Юрьевна</dc:creator>
  <cp:keywords/>
  <dc:description/>
  <cp:lastModifiedBy>Солошенко Юлия Александровна</cp:lastModifiedBy>
  <cp:revision>2</cp:revision>
  <cp:lastPrinted>2017-11-08T05:53:00Z</cp:lastPrinted>
  <dcterms:created xsi:type="dcterms:W3CDTF">2018-01-10T05:40:00Z</dcterms:created>
  <dcterms:modified xsi:type="dcterms:W3CDTF">2018-01-10T05:40:00Z</dcterms:modified>
</cp:coreProperties>
</file>