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42"/>
        <w:tabs>
          <w:tab w:val="left" w:pos="708" w:leader="none"/>
        </w:tabs>
        <w:rPr>
          <w:sz w:val="28"/>
          <w:szCs w:val="28"/>
        </w:rPr>
      </w:pPr>
      <w:r>
        <w:rPr>
          <w:sz w:val="28"/>
          <w:szCs w:val="28"/>
        </w:rPr>
      </w:r>
      <w:r>
        <w:rPr>
          <w:sz w:val="28"/>
          <w:szCs w:val="28"/>
        </w:rPr>
      </w:r>
      <w:r>
        <w:rPr>
          <w:sz w:val="28"/>
          <w:szCs w:val="28"/>
        </w:rPr>
      </w:r>
    </w:p>
    <w:p>
      <w:pPr>
        <w:pStyle w:val="851"/>
        <w:jc w:val="center"/>
        <w:rPr>
          <w:rFonts w:ascii="Times New Roman" w:hAnsi="Times New Roman"/>
          <w:b/>
          <w:i/>
          <w:sz w:val="24"/>
          <w:szCs w:val="24"/>
        </w:rPr>
      </w:pPr>
      <w:r>
        <w:rPr>
          <w:rFonts w:ascii="Times New Roman" w:hAnsi="Times New Roman" w:eastAsia="Times New Roman"/>
          <w:b/>
          <w:i/>
          <w:sz w:val="24"/>
          <w:szCs w:val="24"/>
        </w:rPr>
        <w:t xml:space="preserve">СООБЩЕНИЕ</w:t>
      </w:r>
      <w:r>
        <w:rPr>
          <w:rFonts w:ascii="Times New Roman" w:hAnsi="Times New Roman"/>
          <w:b/>
          <w:i/>
          <w:sz w:val="24"/>
          <w:szCs w:val="24"/>
        </w:rPr>
      </w:r>
      <w:r>
        <w:rPr>
          <w:rFonts w:ascii="Times New Roman" w:hAnsi="Times New Roman"/>
          <w:b/>
          <w:i/>
          <w:sz w:val="24"/>
          <w:szCs w:val="24"/>
        </w:rPr>
      </w:r>
    </w:p>
    <w:p>
      <w:pPr>
        <w:pStyle w:val="851"/>
        <w:jc w:val="center"/>
        <w:rPr>
          <w:rFonts w:ascii="Times New Roman" w:hAnsi="Times New Roman"/>
          <w:b/>
          <w:i/>
          <w:sz w:val="24"/>
          <w:szCs w:val="24"/>
        </w:rPr>
      </w:pPr>
      <w:r>
        <w:rPr>
          <w:rFonts w:ascii="Times New Roman" w:hAnsi="Times New Roman" w:eastAsia="Times New Roman"/>
          <w:b/>
          <w:i/>
          <w:sz w:val="24"/>
          <w:szCs w:val="24"/>
        </w:rPr>
        <w:t xml:space="preserve">о проведении годового </w:t>
      </w:r>
      <w:r>
        <w:rPr>
          <w:rFonts w:ascii="Times New Roman" w:hAnsi="Times New Roman" w:eastAsia="Times New Roman"/>
          <w:b/>
          <w:i/>
          <w:sz w:val="24"/>
          <w:szCs w:val="24"/>
        </w:rPr>
        <w:t xml:space="preserve">заседания </w:t>
      </w:r>
      <w:r>
        <w:rPr>
          <w:rFonts w:ascii="Times New Roman" w:hAnsi="Times New Roman" w:eastAsia="Times New Roman"/>
          <w:b/>
          <w:i/>
          <w:sz w:val="24"/>
          <w:szCs w:val="24"/>
        </w:rPr>
        <w:t xml:space="preserve">общего собрания акционеров </w:t>
      </w:r>
      <w:r>
        <w:rPr>
          <w:rFonts w:ascii="Times New Roman" w:hAnsi="Times New Roman"/>
          <w:b/>
          <w:i/>
          <w:sz w:val="24"/>
          <w:szCs w:val="24"/>
        </w:rPr>
      </w:r>
      <w:r>
        <w:rPr>
          <w:rFonts w:ascii="Times New Roman" w:hAnsi="Times New Roman"/>
          <w:b/>
          <w:i/>
          <w:sz w:val="24"/>
          <w:szCs w:val="24"/>
        </w:rPr>
      </w:r>
    </w:p>
    <w:p>
      <w:pPr>
        <w:pStyle w:val="851"/>
        <w:jc w:val="center"/>
        <w:rPr>
          <w:color w:val="000000"/>
        </w:rPr>
      </w:pPr>
      <w:r>
        <w:rPr>
          <w:rFonts w:ascii="Times New Roman" w:hAnsi="Times New Roman" w:eastAsia="Times New Roman"/>
          <w:b/>
          <w:i/>
          <w:sz w:val="24"/>
          <w:szCs w:val="24"/>
        </w:rPr>
        <w:t xml:space="preserve">АО </w:t>
      </w:r>
      <w:r>
        <w:rPr>
          <w:rFonts w:ascii="Times New Roman" w:hAnsi="Times New Roman" w:eastAsia="Times New Roman"/>
          <w:b/>
          <w:i/>
          <w:sz w:val="24"/>
          <w:szCs w:val="24"/>
        </w:rPr>
        <w:t xml:space="preserve">«Газпром газораспределеление Дальний Восток</w:t>
      </w:r>
      <w:r>
        <w:rPr>
          <w:rFonts w:ascii="Times New Roman" w:hAnsi="Times New Roman" w:eastAsia="Times New Roman"/>
          <w:b/>
          <w:i/>
          <w:sz w:val="24"/>
          <w:szCs w:val="24"/>
        </w:rPr>
        <w:t xml:space="preserve">» </w:t>
        <w:br w:type="textWrapping" w:clear="all"/>
      </w:r>
      <w:r>
        <w:rPr>
          <w:color w:val="000000"/>
        </w:rPr>
      </w:r>
      <w:r>
        <w:rPr>
          <w:color w:val="000000"/>
        </w:rPr>
      </w:r>
    </w:p>
    <w:p>
      <w:pPr>
        <w:pStyle w:val="835"/>
        <w:spacing w:after="60"/>
        <w:tabs>
          <w:tab w:val="left" w:pos="993" w:leader="none"/>
          <w:tab w:val="left" w:pos="9720" w:leader="none"/>
        </w:tabs>
        <w:rPr>
          <w:bCs w:val="0"/>
          <w:spacing w:val="0"/>
          <w:sz w:val="24"/>
          <w:szCs w:val="24"/>
        </w:rPr>
      </w:pPr>
      <w:r>
        <w:rPr>
          <w:bCs w:val="0"/>
          <w:spacing w:val="0"/>
          <w:sz w:val="24"/>
          <w:szCs w:val="24"/>
        </w:rPr>
        <w:t xml:space="preserve">УВАЖАЕМЫЙ АКЦИОНЕР!</w:t>
      </w:r>
      <w:r>
        <w:rPr>
          <w:bCs w:val="0"/>
          <w:spacing w:val="0"/>
          <w:sz w:val="24"/>
          <w:szCs w:val="24"/>
        </w:rPr>
      </w:r>
      <w:r>
        <w:rPr>
          <w:bCs w:val="0"/>
          <w:spacing w:val="0"/>
          <w:sz w:val="24"/>
          <w:szCs w:val="24"/>
        </w:rPr>
      </w:r>
    </w:p>
    <w:p>
      <w:pPr>
        <w:pStyle w:val="834"/>
      </w:pPr>
      <w:r/>
      <w:r/>
    </w:p>
    <w:p>
      <w:pPr>
        <w:pStyle w:val="834"/>
        <w:ind w:firstLine="709"/>
        <w:jc w:val="both"/>
        <w:shd w:val="clear" w:color="auto" w:fill="ffffff"/>
        <w:tabs>
          <w:tab w:val="left" w:pos="993" w:leader="none"/>
          <w:tab w:val="left" w:pos="7253" w:leader="underscore"/>
        </w:tabs>
        <w:rPr>
          <w:b/>
          <w:color w:val="000000"/>
          <w:spacing w:val="-2"/>
        </w:rPr>
      </w:pPr>
      <w:r>
        <w:rPr>
          <w:bCs/>
          <w:iCs/>
          <w:color w:val="000000"/>
        </w:rPr>
        <w:t xml:space="preserve">Акционерное общество «Газпром газораспределение Дальний Восток</w:t>
      </w:r>
      <w:r>
        <w:rPr>
          <w:bCs/>
          <w:iCs/>
          <w:color w:val="000000"/>
        </w:rPr>
        <w:t xml:space="preserve">»</w:t>
      </w:r>
      <w:r>
        <w:rPr>
          <w:iCs/>
          <w:color w:val="000000"/>
        </w:rPr>
        <w:t xml:space="preserve"> (далее – Общество) </w:t>
      </w:r>
      <w:r>
        <w:rPr>
          <w:color w:val="000000"/>
        </w:rPr>
        <w:t xml:space="preserve">уведомляет Вас о проведении годового</w:t>
      </w:r>
      <w:r>
        <w:t xml:space="preserve"> </w:t>
      </w:r>
      <w:r>
        <w:rPr>
          <w:color w:val="000000"/>
        </w:rPr>
        <w:t xml:space="preserve">заседания о</w:t>
      </w:r>
      <w:r>
        <w:rPr>
          <w:color w:val="000000"/>
          <w:spacing w:val="-2"/>
        </w:rPr>
        <w:t xml:space="preserve">бщего собрания акционеров</w:t>
      </w:r>
      <w:r>
        <w:rPr>
          <w:b/>
          <w:color w:val="000000"/>
          <w:spacing w:val="-2"/>
        </w:rPr>
        <w:t xml:space="preserve">.</w:t>
      </w:r>
      <w:r>
        <w:rPr>
          <w:b/>
          <w:color w:val="000000"/>
          <w:spacing w:val="-2"/>
        </w:rPr>
      </w:r>
      <w:r>
        <w:rPr>
          <w:b/>
          <w:color w:val="000000"/>
          <w:spacing w:val="-2"/>
        </w:rPr>
      </w:r>
    </w:p>
    <w:p>
      <w:pPr>
        <w:pStyle w:val="834"/>
        <w:ind w:firstLine="709"/>
        <w:jc w:val="both"/>
        <w:shd w:val="clear" w:color="auto" w:fill="ffffff"/>
        <w:tabs>
          <w:tab w:val="left" w:pos="993" w:leader="none"/>
          <w:tab w:val="left" w:pos="7253" w:leader="underscore"/>
        </w:tabs>
        <w:rPr>
          <w:b/>
          <w:bCs/>
          <w:color w:val="000000"/>
          <w:spacing w:val="-2"/>
          <w:highlight w:val="white"/>
        </w:rPr>
      </w:pPr>
      <w:r>
        <w:rPr>
          <w:color w:val="000000"/>
          <w:spacing w:val="-2"/>
          <w:highlight w:val="white"/>
        </w:rPr>
        <w:t xml:space="preserve">Способ принятия решений общим собранием акционеров:</w:t>
      </w:r>
      <w:r>
        <w:rPr>
          <w:b/>
          <w:color w:val="000000"/>
          <w:spacing w:val="-2"/>
          <w:highlight w:val="white"/>
        </w:rPr>
        <w:t xml:space="preserve"> </w:t>
      </w:r>
      <w:r>
        <w:rPr>
          <w:b/>
          <w:bCs/>
          <w:color w:val="000000"/>
          <w:spacing w:val="-2"/>
          <w:highlight w:val="white"/>
        </w:rPr>
        <w:t xml:space="preserve">заседание, совмещенное с заочным голосованием, без возможности дистанционного участия в заседании;</w:t>
      </w:r>
      <w:r>
        <w:rPr>
          <w:b/>
          <w:bCs/>
          <w:color w:val="000000"/>
          <w:spacing w:val="-2"/>
          <w:highlight w:val="white"/>
        </w:rPr>
      </w:r>
      <w:r>
        <w:rPr>
          <w:b/>
          <w:bCs/>
          <w:color w:val="000000"/>
          <w:spacing w:val="-2"/>
          <w:highlight w:val="white"/>
        </w:rPr>
      </w:r>
    </w:p>
    <w:p>
      <w:pPr>
        <w:pStyle w:val="834"/>
        <w:ind w:firstLine="709"/>
        <w:jc w:val="both"/>
        <w:rPr>
          <w:rFonts w:eastAsia="Calibri"/>
          <w:b/>
          <w:bCs/>
          <w:color w:val="000000"/>
          <w:sz w:val="24"/>
          <w:szCs w:val="24"/>
          <w:highlight w:val="white"/>
        </w:rPr>
      </w:pPr>
      <w:r>
        <w:rPr>
          <w:rFonts w:eastAsia="Calibri"/>
          <w:color w:val="000000"/>
          <w:sz w:val="24"/>
          <w:szCs w:val="24"/>
          <w:highlight w:val="white"/>
          <w:lang w:eastAsia="en-US"/>
        </w:rPr>
        <w:t xml:space="preserve">Место нахождения Общества: </w:t>
      </w:r>
      <w:r>
        <w:rPr>
          <w:rFonts w:eastAsia="Calibri"/>
          <w:b/>
          <w:bCs/>
          <w:color w:val="000000"/>
          <w:sz w:val="24"/>
          <w:szCs w:val="24"/>
          <w:highlight w:val="white"/>
          <w:lang w:eastAsia="en-US"/>
        </w:rPr>
        <w:t xml:space="preserve">Российская Федерация, Хабаровский край, г. Хабаровск.</w:t>
      </w:r>
      <w:r>
        <w:rPr>
          <w:rFonts w:eastAsia="Calibri"/>
          <w:b/>
          <w:bCs/>
          <w:color w:val="000000"/>
          <w:sz w:val="24"/>
          <w:szCs w:val="24"/>
          <w:highlight w:val="white"/>
        </w:rPr>
      </w:r>
      <w:r>
        <w:rPr>
          <w:rFonts w:eastAsia="Calibri"/>
          <w:b/>
          <w:bCs/>
          <w:color w:val="000000"/>
          <w:sz w:val="24"/>
          <w:szCs w:val="24"/>
          <w:highlight w:val="white"/>
        </w:rPr>
      </w:r>
    </w:p>
    <w:p>
      <w:pPr>
        <w:pStyle w:val="853"/>
        <w:ind w:firstLine="709"/>
        <w:jc w:val="both"/>
        <w:spacing w:before="0" w:beforeAutospacing="0" w:after="0" w:afterAutospacing="0"/>
        <w:shd w:val="clear" w:color="auto" w:fill="ffffff"/>
        <w:rPr>
          <w:sz w:val="24"/>
          <w:szCs w:val="24"/>
          <w:highlight w:val="white"/>
        </w:rPr>
      </w:pPr>
      <w:r>
        <w:rPr>
          <w:rFonts w:eastAsia="Calibri"/>
          <w:bCs/>
          <w:color w:val="000000"/>
          <w:sz w:val="24"/>
          <w:szCs w:val="24"/>
          <w:highlight w:val="white"/>
          <w:lang w:eastAsia="en-US"/>
        </w:rPr>
        <w:t xml:space="preserve">Место проведения годового заседания общего собрания акционеров:</w:t>
      </w:r>
      <w:r>
        <w:rPr>
          <w:sz w:val="24"/>
          <w:szCs w:val="24"/>
          <w:highlight w:val="white"/>
        </w:rPr>
        <w:t xml:space="preserve">г. Хабаровск, </w:t>
        <w:br/>
        <w:t xml:space="preserve">ул. Брестская, д. 51, АО «Газпром газораспределение Дальний Восток», 4 этаж, конференц-зал</w:t>
      </w:r>
      <w:r>
        <w:rPr>
          <w:color w:val="000000"/>
          <w:sz w:val="24"/>
          <w:szCs w:val="24"/>
          <w:highlight w:val="white"/>
        </w:rPr>
        <w:t xml:space="preserve">;</w:t>
      </w:r>
      <w:r>
        <w:rPr>
          <w:sz w:val="24"/>
          <w:szCs w:val="24"/>
          <w:highlight w:val="white"/>
        </w:rPr>
      </w:r>
      <w:r>
        <w:rPr>
          <w:sz w:val="24"/>
          <w:szCs w:val="24"/>
          <w:highlight w:val="white"/>
        </w:rPr>
      </w:r>
    </w:p>
    <w:p>
      <w:pPr>
        <w:pStyle w:val="853"/>
        <w:ind w:firstLine="709"/>
        <w:jc w:val="both"/>
        <w:spacing w:before="0" w:beforeAutospacing="0" w:after="0" w:afterAutospacing="0"/>
        <w:shd w:val="clear" w:color="auto" w:fill="ffffff"/>
        <w:rPr>
          <w:b/>
          <w:bCs/>
          <w:color w:val="000000"/>
          <w:sz w:val="24"/>
          <w:szCs w:val="24"/>
          <w:highlight w:val="white"/>
        </w:rPr>
      </w:pPr>
      <w:r>
        <w:rPr>
          <w:bCs/>
          <w:color w:val="000000"/>
          <w:sz w:val="24"/>
          <w:szCs w:val="24"/>
          <w:highlight w:val="white"/>
        </w:rPr>
        <w:t xml:space="preserve">Дата проведения</w:t>
      </w:r>
      <w:r>
        <w:rPr>
          <w:sz w:val="24"/>
          <w:szCs w:val="24"/>
          <w:highlight w:val="white"/>
        </w:rPr>
        <w:t xml:space="preserve"> </w:t>
      </w:r>
      <w:r>
        <w:rPr>
          <w:bCs/>
          <w:color w:val="000000"/>
          <w:sz w:val="24"/>
          <w:szCs w:val="24"/>
          <w:highlight w:val="white"/>
        </w:rPr>
        <w:t xml:space="preserve">годового заседания общего собрания акционеров</w:t>
      </w:r>
      <w:r>
        <w:rPr>
          <w:rFonts w:eastAsia="Calibri"/>
          <w:bCs/>
          <w:color w:val="000000"/>
          <w:sz w:val="24"/>
          <w:szCs w:val="24"/>
          <w:highlight w:val="white"/>
          <w:lang w:eastAsia="en-US"/>
        </w:rPr>
        <w:t xml:space="preserve">:</w:t>
      </w:r>
      <w:r>
        <w:rPr>
          <w:rFonts w:eastAsia="Calibri"/>
          <w:b/>
          <w:bCs/>
          <w:color w:val="000000"/>
          <w:sz w:val="24"/>
          <w:szCs w:val="24"/>
          <w:highlight w:val="white"/>
          <w:lang w:eastAsia="en-US"/>
        </w:rPr>
        <w:t xml:space="preserve"> </w:t>
      </w:r>
      <w:r>
        <w:rPr>
          <w:b/>
          <w:bCs/>
          <w:color w:val="000000"/>
          <w:sz w:val="24"/>
          <w:szCs w:val="24"/>
          <w:highlight w:val="white"/>
        </w:rPr>
        <w:t xml:space="preserve">30</w:t>
      </w:r>
      <w:r>
        <w:rPr>
          <w:b/>
          <w:bCs/>
          <w:color w:val="000000"/>
          <w:sz w:val="24"/>
          <w:szCs w:val="24"/>
          <w:highlight w:val="white"/>
        </w:rPr>
        <w:t xml:space="preserve"> июня 202</w:t>
      </w:r>
      <w:r>
        <w:rPr>
          <w:b/>
          <w:bCs/>
          <w:color w:val="000000"/>
          <w:sz w:val="24"/>
          <w:szCs w:val="24"/>
          <w:highlight w:val="white"/>
        </w:rPr>
        <w:t xml:space="preserve">6</w:t>
      </w:r>
      <w:r>
        <w:rPr>
          <w:b/>
          <w:bCs/>
          <w:color w:val="000000"/>
          <w:sz w:val="24"/>
          <w:szCs w:val="24"/>
          <w:highlight w:val="white"/>
        </w:rPr>
        <w:t xml:space="preserve"> года.</w:t>
      </w:r>
      <w:r>
        <w:rPr>
          <w:b/>
          <w:bCs/>
          <w:color w:val="000000"/>
          <w:sz w:val="24"/>
          <w:szCs w:val="24"/>
          <w:highlight w:val="white"/>
        </w:rPr>
      </w:r>
      <w:r>
        <w:rPr>
          <w:b/>
          <w:bCs/>
          <w:color w:val="000000"/>
          <w:sz w:val="24"/>
          <w:szCs w:val="24"/>
          <w:highlight w:val="white"/>
        </w:rPr>
      </w:r>
    </w:p>
    <w:p>
      <w:pPr>
        <w:pStyle w:val="834"/>
        <w:ind w:firstLine="709"/>
        <w:jc w:val="both"/>
        <w:rPr>
          <w:rFonts w:eastAsia="Calibri"/>
          <w:b/>
          <w:bCs/>
          <w:color w:val="000000"/>
          <w:sz w:val="24"/>
          <w:szCs w:val="24"/>
          <w:highlight w:val="white"/>
        </w:rPr>
      </w:pPr>
      <w:r>
        <w:rPr>
          <w:rFonts w:eastAsia="Calibri"/>
          <w:bCs/>
          <w:color w:val="000000"/>
          <w:sz w:val="24"/>
          <w:szCs w:val="24"/>
          <w:highlight w:val="white"/>
          <w:lang w:eastAsia="en-US"/>
        </w:rPr>
        <w:t xml:space="preserve">Время проведения годового заседания общего собрания акционеров:</w:t>
      </w:r>
      <w:r>
        <w:rPr>
          <w:rFonts w:eastAsia="Calibri"/>
          <w:b/>
          <w:bCs/>
          <w:color w:val="000000"/>
          <w:sz w:val="24"/>
          <w:szCs w:val="24"/>
          <w:highlight w:val="white"/>
          <w:lang w:eastAsia="en-US"/>
        </w:rPr>
        <w:t xml:space="preserve"> 1</w:t>
      </w:r>
      <w:r>
        <w:rPr>
          <w:rFonts w:eastAsia="Calibri"/>
          <w:b/>
          <w:bCs/>
          <w:color w:val="000000"/>
          <w:sz w:val="24"/>
          <w:szCs w:val="24"/>
          <w:highlight w:val="white"/>
          <w:lang w:eastAsia="en-US"/>
        </w:rPr>
        <w:t xml:space="preserve">1 часов 00 минут.</w:t>
      </w:r>
      <w:r>
        <w:rPr>
          <w:rFonts w:eastAsia="Calibri"/>
          <w:b/>
          <w:bCs/>
          <w:color w:val="000000"/>
          <w:sz w:val="24"/>
          <w:szCs w:val="24"/>
          <w:highlight w:val="white"/>
        </w:rPr>
      </w:r>
      <w:r>
        <w:rPr>
          <w:rFonts w:eastAsia="Calibri"/>
          <w:b/>
          <w:bCs/>
          <w:color w:val="000000"/>
          <w:sz w:val="24"/>
          <w:szCs w:val="24"/>
          <w:highlight w:val="white"/>
        </w:rPr>
      </w:r>
    </w:p>
    <w:p>
      <w:pPr>
        <w:pStyle w:val="834"/>
        <w:ind w:firstLine="709"/>
        <w:jc w:val="both"/>
        <w:rPr>
          <w:rFonts w:eastAsia="Calibri"/>
          <w:b/>
          <w:bCs/>
          <w:color w:val="000000"/>
          <w:sz w:val="24"/>
          <w:szCs w:val="24"/>
          <w:highlight w:val="white"/>
        </w:rPr>
      </w:pPr>
      <w:r>
        <w:rPr>
          <w:rFonts w:eastAsia="Calibri"/>
          <w:bCs/>
          <w:color w:val="000000"/>
          <w:sz w:val="24"/>
          <w:szCs w:val="24"/>
          <w:highlight w:val="white"/>
          <w:lang w:eastAsia="en-US"/>
        </w:rPr>
        <w:t xml:space="preserve">Время начала регистрации лиц, участвующих в годовом заседании общего собрания акционеров:</w:t>
      </w:r>
      <w:r>
        <w:rPr>
          <w:rFonts w:eastAsia="Calibri"/>
          <w:b/>
          <w:bCs/>
          <w:color w:val="000000"/>
          <w:sz w:val="24"/>
          <w:szCs w:val="24"/>
          <w:highlight w:val="white"/>
          <w:lang w:eastAsia="en-US"/>
        </w:rPr>
        <w:t xml:space="preserve"> </w:t>
      </w:r>
      <w:r>
        <w:rPr>
          <w:rFonts w:eastAsia="Calibri"/>
          <w:b/>
          <w:bCs/>
          <w:color w:val="000000"/>
          <w:sz w:val="24"/>
          <w:szCs w:val="24"/>
          <w:highlight w:val="white"/>
          <w:lang w:eastAsia="en-US"/>
        </w:rPr>
        <w:t xml:space="preserve">10</w:t>
      </w:r>
      <w:r>
        <w:rPr>
          <w:rFonts w:eastAsia="Calibri"/>
          <w:b/>
          <w:bCs/>
          <w:color w:val="000000"/>
          <w:sz w:val="24"/>
          <w:szCs w:val="24"/>
          <w:highlight w:val="white"/>
          <w:lang w:eastAsia="en-US"/>
        </w:rPr>
        <w:t xml:space="preserve"> часов 00 минут.</w:t>
      </w:r>
      <w:r>
        <w:rPr>
          <w:rFonts w:eastAsia="Calibri"/>
          <w:b/>
          <w:bCs/>
          <w:color w:val="000000"/>
          <w:sz w:val="24"/>
          <w:szCs w:val="24"/>
          <w:highlight w:val="white"/>
        </w:rPr>
      </w:r>
      <w:r>
        <w:rPr>
          <w:rFonts w:eastAsia="Calibri"/>
          <w:b/>
          <w:bCs/>
          <w:color w:val="000000"/>
          <w:sz w:val="24"/>
          <w:szCs w:val="24"/>
          <w:highlight w:val="white"/>
        </w:rPr>
      </w:r>
    </w:p>
    <w:p>
      <w:pPr>
        <w:pStyle w:val="834"/>
        <w:ind w:firstLine="709"/>
        <w:jc w:val="both"/>
        <w:tabs>
          <w:tab w:val="left" w:pos="993" w:leader="none"/>
        </w:tabs>
        <w:rPr>
          <w:b/>
          <w:bCs/>
          <w:color w:val="000000"/>
          <w:sz w:val="24"/>
          <w:szCs w:val="24"/>
          <w:highlight w:val="white"/>
        </w:rPr>
      </w:pPr>
      <w:r>
        <w:rPr>
          <w:color w:val="000000"/>
          <w:sz w:val="24"/>
          <w:szCs w:val="24"/>
          <w:highlight w:val="white"/>
        </w:rPr>
        <w:t xml:space="preserve">Дата окончания приема бюллетеней для голосования: </w:t>
      </w:r>
      <w:r>
        <w:rPr>
          <w:b/>
          <w:color w:val="000000"/>
          <w:sz w:val="24"/>
          <w:szCs w:val="24"/>
          <w:highlight w:val="white"/>
        </w:rPr>
        <w:t xml:space="preserve">2</w:t>
      </w:r>
      <w:r>
        <w:rPr>
          <w:b/>
          <w:color w:val="000000"/>
          <w:sz w:val="24"/>
          <w:szCs w:val="24"/>
          <w:highlight w:val="white"/>
        </w:rPr>
        <w:t xml:space="preserve">7</w:t>
      </w:r>
      <w:r>
        <w:rPr>
          <w:b/>
          <w:color w:val="000000"/>
          <w:sz w:val="24"/>
          <w:szCs w:val="24"/>
          <w:highlight w:val="white"/>
        </w:rPr>
        <w:t xml:space="preserve">.06.202</w:t>
      </w:r>
      <w:r>
        <w:rPr>
          <w:b/>
          <w:color w:val="000000"/>
          <w:sz w:val="24"/>
          <w:szCs w:val="24"/>
          <w:highlight w:val="white"/>
        </w:rPr>
        <w:t xml:space="preserve">6</w:t>
      </w:r>
      <w:r>
        <w:rPr>
          <w:color w:val="000000"/>
          <w:sz w:val="24"/>
          <w:szCs w:val="24"/>
          <w:highlight w:val="white"/>
        </w:rPr>
        <w:t xml:space="preserve">.</w:t>
      </w:r>
      <w:r>
        <w:rPr>
          <w:b/>
          <w:bCs/>
          <w:color w:val="000000"/>
          <w:sz w:val="24"/>
          <w:szCs w:val="24"/>
          <w:highlight w:val="white"/>
        </w:rPr>
      </w:r>
      <w:r>
        <w:rPr>
          <w:b/>
          <w:bCs/>
          <w:color w:val="000000"/>
          <w:sz w:val="24"/>
          <w:szCs w:val="24"/>
          <w:highlight w:val="white"/>
        </w:rPr>
      </w:r>
    </w:p>
    <w:p>
      <w:pPr>
        <w:pStyle w:val="834"/>
        <w:ind w:firstLine="709"/>
        <w:jc w:val="both"/>
        <w:tabs>
          <w:tab w:val="left" w:pos="993" w:leader="none"/>
        </w:tabs>
        <w:rPr>
          <w:highlight w:val="white"/>
        </w:rPr>
      </w:pPr>
      <w:r>
        <w:rPr>
          <w:rFonts w:eastAsia="Calibri"/>
          <w:color w:val="000000"/>
          <w:sz w:val="24"/>
          <w:szCs w:val="24"/>
          <w:highlight w:val="white"/>
          <w:lang w:eastAsia="en-US"/>
        </w:rPr>
        <w:t xml:space="preserve">Почтовый адрес, по которому могут направляться заполненные бюллетени для голосования: </w:t>
      </w:r>
      <w:r>
        <w:rPr>
          <w:rFonts w:eastAsia="Calibri"/>
          <w:color w:val="000000"/>
          <w:sz w:val="24"/>
          <w:szCs w:val="24"/>
          <w:highlight w:val="white"/>
          <w:lang w:eastAsia="en-US"/>
        </w:rPr>
        <w:t xml:space="preserve">ул. Брестская, д. 51, г. Хабаровск,</w:t>
      </w:r>
      <w:r>
        <w:rPr>
          <w:rFonts w:eastAsia="Calibri"/>
          <w:color w:val="000000"/>
          <w:sz w:val="24"/>
          <w:szCs w:val="24"/>
          <w:highlight w:val="white"/>
          <w:lang w:eastAsia="en-US"/>
        </w:rPr>
        <w:t xml:space="preserve"> </w:t>
      </w:r>
      <w:r>
        <w:rPr>
          <w:rFonts w:eastAsia="Calibri"/>
          <w:color w:val="000000"/>
          <w:sz w:val="24"/>
          <w:szCs w:val="24"/>
          <w:highlight w:val="white"/>
          <w:lang w:eastAsia="en-US"/>
        </w:rPr>
        <w:t xml:space="preserve">Хабаровский край, Российская Федерация, 680011.</w:t>
      </w:r>
      <w:r>
        <w:rPr>
          <w:rFonts w:eastAsia="Calibri"/>
          <w:color w:val="000000"/>
          <w:sz w:val="24"/>
          <w:szCs w:val="24"/>
          <w:highlight w:val="white"/>
          <w:lang w:eastAsia="en-US"/>
        </w:rPr>
      </w:r>
      <w:r>
        <w:rPr>
          <w:highlight w:val="white"/>
        </w:rPr>
      </w:r>
    </w:p>
    <w:p>
      <w:pPr>
        <w:ind w:firstLine="709"/>
        <w:jc w:val="both"/>
        <w:tabs>
          <w:tab w:val="left" w:pos="2256" w:leader="none"/>
        </w:tabs>
        <w:rPr>
          <w:rFonts w:eastAsiaTheme="minorHAnsi"/>
          <w:bCs/>
          <w:color w:val="000000" w:themeColor="text1"/>
        </w:rPr>
      </w:pPr>
      <w:r>
        <w:rPr>
          <w:rFonts w:eastAsiaTheme="minorHAnsi"/>
          <w:lang w:eastAsia="en-US"/>
        </w:rPr>
        <w:t xml:space="preserve">Способ подписания бюллетеня для голосования: бюллетень подписывается лицом, имеющим право </w:t>
      </w:r>
      <w:r>
        <w:rPr>
          <w:rFonts w:eastAsiaTheme="minorHAnsi"/>
          <w:lang w:eastAsia="en-US"/>
        </w:rPr>
        <w:t xml:space="preserve">голоса при принятии решений общим собранием акционеров, или его представителем собственноручной подписью; заполнение и направление бюллетеня для голосования в электронной форме с использованием других электронных либо иных технических средств недопустимо.</w:t>
      </w:r>
      <w:r>
        <w:rPr>
          <w:rFonts w:eastAsiaTheme="minorHAnsi"/>
          <w:bCs/>
          <w:color w:val="000000" w:themeColor="text1"/>
        </w:rPr>
      </w:r>
      <w:r>
        <w:rPr>
          <w:rFonts w:eastAsiaTheme="minorHAnsi"/>
          <w:bCs/>
          <w:color w:val="000000" w:themeColor="text1"/>
        </w:rPr>
      </w:r>
    </w:p>
    <w:p>
      <w:pPr>
        <w:pStyle w:val="834"/>
        <w:ind w:firstLine="709"/>
        <w:jc w:val="both"/>
        <w:tabs>
          <w:tab w:val="left" w:pos="993" w:leader="none"/>
        </w:tabs>
        <w:rPr>
          <w:color w:val="000000"/>
          <w:highlight w:val="white"/>
        </w:rPr>
      </w:pPr>
      <w:r>
        <w:rPr>
          <w:color w:val="000000"/>
          <w:highlight w:val="white"/>
        </w:rPr>
        <w:t xml:space="preserve">Дата, на которую определяются (фиксируются) лица, имеющие право голоса при принятии решений общим собранием акционеров: </w:t>
      </w:r>
      <w:r>
        <w:rPr>
          <w:b/>
          <w:color w:val="000000"/>
          <w:highlight w:val="white"/>
        </w:rPr>
        <w:t xml:space="preserve">0</w:t>
      </w:r>
      <w:r>
        <w:rPr>
          <w:b/>
          <w:color w:val="000000"/>
          <w:highlight w:val="white"/>
        </w:rPr>
        <w:t xml:space="preserve">8</w:t>
      </w:r>
      <w:r>
        <w:rPr>
          <w:b/>
          <w:color w:val="000000"/>
          <w:spacing w:val="-2"/>
          <w:highlight w:val="white"/>
        </w:rPr>
        <w:t xml:space="preserve"> </w:t>
      </w:r>
      <w:r>
        <w:rPr>
          <w:b/>
          <w:color w:val="000000"/>
          <w:spacing w:val="-2"/>
          <w:highlight w:val="white"/>
        </w:rPr>
        <w:t xml:space="preserve">июня 202</w:t>
      </w:r>
      <w:r>
        <w:rPr>
          <w:b/>
          <w:color w:val="000000"/>
          <w:spacing w:val="-2"/>
          <w:highlight w:val="white"/>
        </w:rPr>
        <w:t xml:space="preserve">6</w:t>
      </w:r>
      <w:r>
        <w:rPr>
          <w:b/>
          <w:color w:val="000000"/>
          <w:spacing w:val="-2"/>
          <w:highlight w:val="white"/>
        </w:rPr>
        <w:t xml:space="preserve"> года</w:t>
      </w:r>
      <w:r>
        <w:rPr>
          <w:b/>
          <w:color w:val="000000"/>
          <w:highlight w:val="white"/>
        </w:rPr>
        <w:t xml:space="preserve">. </w:t>
      </w:r>
      <w:r>
        <w:rPr>
          <w:color w:val="000000"/>
          <w:highlight w:val="white"/>
        </w:rPr>
      </w:r>
      <w:r>
        <w:rPr>
          <w:color w:val="000000"/>
          <w:highlight w:val="white"/>
        </w:rPr>
      </w:r>
    </w:p>
    <w:p>
      <w:pPr>
        <w:pStyle w:val="834"/>
        <w:ind w:firstLine="709"/>
        <w:jc w:val="both"/>
        <w:tabs>
          <w:tab w:val="left" w:pos="993" w:leader="none"/>
        </w:tabs>
        <w:rPr>
          <w:color w:val="000000"/>
        </w:rPr>
      </w:pPr>
      <w:r>
        <w:rPr>
          <w:color w:val="000000"/>
          <w:highlight w:val="white"/>
        </w:rPr>
        <w:t xml:space="preserve">Категории (типы) акций, владельцы которых имеют право голоса п</w:t>
      </w:r>
      <w:r>
        <w:rPr>
          <w:color w:val="000000"/>
        </w:rPr>
        <w:t xml:space="preserve">о </w:t>
      </w:r>
      <w:r>
        <w:rPr>
          <w:color w:val="000000"/>
        </w:rPr>
        <w:t xml:space="preserve">вопросам повестки дня: </w:t>
      </w:r>
      <w:r>
        <w:rPr>
          <w:b/>
          <w:color w:val="000000"/>
        </w:rPr>
        <w:t xml:space="preserve">обыкновенные акции, привилегированные акции типа А.</w:t>
      </w:r>
      <w:r>
        <w:rPr>
          <w:color w:val="000000"/>
        </w:rPr>
      </w:r>
      <w:r>
        <w:rPr>
          <w:color w:val="000000"/>
        </w:rPr>
      </w:r>
    </w:p>
    <w:p>
      <w:pPr>
        <w:pStyle w:val="834"/>
        <w:jc w:val="center"/>
        <w:shd w:val="clear" w:color="auto" w:fill="ffffff"/>
        <w:tabs>
          <w:tab w:val="left" w:pos="993" w:leader="none"/>
          <w:tab w:val="left" w:pos="9720" w:leader="none"/>
        </w:tabs>
        <w:rPr>
          <w:b/>
          <w:color w:val="000000"/>
        </w:rPr>
      </w:pPr>
      <w:r>
        <w:rPr>
          <w:b/>
          <w:color w:val="000000"/>
        </w:rPr>
      </w:r>
      <w:r>
        <w:rPr>
          <w:b/>
          <w:color w:val="000000"/>
        </w:rPr>
      </w:r>
      <w:r>
        <w:rPr>
          <w:b/>
          <w:color w:val="000000"/>
        </w:rPr>
      </w:r>
    </w:p>
    <w:p>
      <w:pPr>
        <w:pStyle w:val="834"/>
        <w:jc w:val="center"/>
        <w:shd w:val="clear" w:color="auto" w:fill="ffffff"/>
        <w:tabs>
          <w:tab w:val="left" w:pos="993" w:leader="none"/>
          <w:tab w:val="left" w:pos="9720" w:leader="none"/>
        </w:tabs>
        <w:rPr>
          <w:b/>
          <w:color w:val="000000"/>
        </w:rPr>
      </w:pPr>
      <w:r>
        <w:rPr>
          <w:b/>
          <w:color w:val="000000"/>
        </w:rPr>
        <w:t xml:space="preserve">Повестка дня:</w:t>
      </w:r>
      <w:r>
        <w:rPr>
          <w:b/>
          <w:color w:val="000000"/>
        </w:rPr>
      </w:r>
      <w:r>
        <w:rPr>
          <w:b/>
          <w:color w:val="000000"/>
        </w:rPr>
      </w:r>
    </w:p>
    <w:p>
      <w:pPr>
        <w:pStyle w:val="834"/>
        <w:contextualSpacing/>
        <w:ind w:firstLine="709"/>
        <w:jc w:val="both"/>
        <w:tabs>
          <w:tab w:val="left" w:pos="993" w:leader="none"/>
        </w:tabs>
        <w:rPr>
          <w:lang w:eastAsia="en-US"/>
        </w:rPr>
      </w:pPr>
      <w:r>
        <w:rPr>
          <w:lang w:eastAsia="en-US"/>
        </w:rPr>
        <w:t xml:space="preserve">1. Утверждение годового отчета Общества за 202</w:t>
      </w:r>
      <w:r>
        <w:rPr>
          <w:lang w:eastAsia="en-US"/>
        </w:rPr>
        <w:t xml:space="preserve">5</w:t>
      </w:r>
      <w:r>
        <w:rPr>
          <w:lang w:eastAsia="en-US"/>
        </w:rPr>
        <w:t xml:space="preserve"> год.</w:t>
      </w:r>
      <w:r>
        <w:rPr>
          <w:lang w:eastAsia="en-US"/>
        </w:rPr>
      </w:r>
      <w:r>
        <w:rPr>
          <w:lang w:eastAsia="en-US"/>
        </w:rPr>
      </w:r>
    </w:p>
    <w:p>
      <w:pPr>
        <w:pStyle w:val="834"/>
        <w:contextualSpacing/>
        <w:ind w:firstLine="709"/>
        <w:jc w:val="both"/>
        <w:tabs>
          <w:tab w:val="left" w:pos="993" w:leader="none"/>
        </w:tabs>
        <w:rPr>
          <w:lang w:eastAsia="en-US"/>
        </w:rPr>
      </w:pPr>
      <w:r>
        <w:rPr>
          <w:lang w:eastAsia="en-US"/>
        </w:rPr>
        <w:t xml:space="preserve">2. Утверждение годовой бухгалтерской (финансовой) отчетности Общества за 202</w:t>
      </w:r>
      <w:r>
        <w:rPr>
          <w:lang w:eastAsia="en-US"/>
        </w:rPr>
        <w:t xml:space="preserve">5</w:t>
      </w:r>
      <w:r>
        <w:rPr>
          <w:lang w:eastAsia="en-US"/>
        </w:rPr>
        <w:t xml:space="preserve"> год.</w:t>
      </w:r>
      <w:r>
        <w:rPr>
          <w:lang w:eastAsia="en-US"/>
        </w:rPr>
      </w:r>
      <w:r>
        <w:rPr>
          <w:lang w:eastAsia="en-US"/>
        </w:rPr>
      </w:r>
    </w:p>
    <w:p>
      <w:pPr>
        <w:pStyle w:val="834"/>
        <w:contextualSpacing/>
        <w:ind w:firstLine="709"/>
        <w:jc w:val="both"/>
        <w:tabs>
          <w:tab w:val="left" w:pos="993" w:leader="none"/>
        </w:tabs>
        <w:rPr>
          <w:lang w:eastAsia="en-US"/>
        </w:rPr>
      </w:pPr>
      <w:r>
        <w:rPr>
          <w:lang w:eastAsia="en-US"/>
        </w:rPr>
        <w:t xml:space="preserve">3. Распределение прибыли (в том числе выплата (объявление) дивидендов) и убытков Общества по результатам 202</w:t>
      </w:r>
      <w:r>
        <w:rPr>
          <w:lang w:eastAsia="en-US"/>
        </w:rPr>
        <w:t xml:space="preserve">5</w:t>
      </w:r>
      <w:r>
        <w:rPr>
          <w:lang w:eastAsia="en-US"/>
        </w:rPr>
        <w:t xml:space="preserve"> года.</w:t>
      </w:r>
      <w:r>
        <w:rPr>
          <w:lang w:eastAsia="en-US"/>
        </w:rPr>
      </w:r>
      <w:r>
        <w:rPr>
          <w:lang w:eastAsia="en-US"/>
        </w:rPr>
      </w:r>
    </w:p>
    <w:p>
      <w:pPr>
        <w:pStyle w:val="834"/>
        <w:contextualSpacing/>
        <w:ind w:firstLine="709"/>
        <w:jc w:val="both"/>
        <w:tabs>
          <w:tab w:val="left" w:pos="993" w:leader="none"/>
        </w:tabs>
        <w:rPr>
          <w:lang w:eastAsia="en-US"/>
        </w:rPr>
      </w:pPr>
      <w:r>
        <w:rPr>
          <w:lang w:eastAsia="en-US"/>
        </w:rPr>
        <w:t xml:space="preserve">4. О размере, сроках и форме выплат</w:t>
      </w:r>
      <w:r>
        <w:rPr>
          <w:lang w:eastAsia="en-US"/>
        </w:rPr>
        <w:t xml:space="preserve">ы дивидендов по результатам 2025</w:t>
      </w:r>
      <w:r>
        <w:rPr>
          <w:lang w:eastAsia="en-US"/>
        </w:rPr>
        <w:t xml:space="preserve"> года.</w:t>
      </w:r>
      <w:r>
        <w:rPr>
          <w:lang w:eastAsia="en-US"/>
        </w:rPr>
      </w:r>
      <w:r>
        <w:rPr>
          <w:lang w:eastAsia="en-US"/>
        </w:rPr>
      </w:r>
    </w:p>
    <w:p>
      <w:pPr>
        <w:pStyle w:val="834"/>
        <w:contextualSpacing/>
        <w:ind w:firstLine="709"/>
        <w:jc w:val="both"/>
        <w:tabs>
          <w:tab w:val="left" w:pos="993" w:leader="none"/>
        </w:tabs>
        <w:rPr>
          <w:lang w:eastAsia="en-US"/>
        </w:rPr>
      </w:pPr>
      <w:r>
        <w:rPr>
          <w:lang w:eastAsia="en-US"/>
        </w:rPr>
        <w:t xml:space="preserve">5</w:t>
      </w:r>
      <w:r>
        <w:rPr>
          <w:lang w:eastAsia="en-US"/>
        </w:rPr>
        <w:t xml:space="preserve">. Избрание членов Совета директоров Общества.</w:t>
      </w:r>
      <w:r>
        <w:rPr>
          <w:lang w:eastAsia="en-US"/>
        </w:rPr>
      </w:r>
      <w:r>
        <w:rPr>
          <w:lang w:eastAsia="en-US"/>
        </w:rPr>
      </w:r>
    </w:p>
    <w:p>
      <w:pPr>
        <w:pStyle w:val="834"/>
        <w:contextualSpacing/>
        <w:ind w:firstLine="709"/>
        <w:jc w:val="both"/>
        <w:tabs>
          <w:tab w:val="left" w:pos="993" w:leader="none"/>
        </w:tabs>
        <w:rPr>
          <w:lang w:eastAsia="en-US"/>
        </w:rPr>
      </w:pPr>
      <w:r>
        <w:rPr>
          <w:lang w:val="en-US" w:eastAsia="en-US"/>
        </w:rPr>
        <w:t xml:space="preserve">6</w:t>
      </w:r>
      <w:r>
        <w:rPr>
          <w:lang w:eastAsia="en-US"/>
        </w:rPr>
        <w:t xml:space="preserve">. Избрание членов ревизионной комиссии Общества.</w:t>
      </w:r>
      <w:r>
        <w:rPr>
          <w:lang w:eastAsia="en-US"/>
        </w:rPr>
      </w:r>
      <w:r>
        <w:rPr>
          <w:lang w:eastAsia="en-US"/>
        </w:rPr>
      </w:r>
    </w:p>
    <w:p>
      <w:pPr>
        <w:pStyle w:val="834"/>
        <w:contextualSpacing/>
        <w:ind w:firstLine="709"/>
        <w:jc w:val="both"/>
        <w:tabs>
          <w:tab w:val="left" w:pos="993" w:leader="none"/>
        </w:tabs>
        <w:rPr>
          <w:lang w:eastAsia="en-US"/>
        </w:rPr>
      </w:pPr>
      <w:r>
        <w:rPr>
          <w:lang w:eastAsia="en-US"/>
        </w:rPr>
        <w:t xml:space="preserve">7</w:t>
      </w:r>
      <w:r>
        <w:rPr>
          <w:lang w:eastAsia="en-US"/>
        </w:rPr>
        <w:t xml:space="preserve">. О назначении аудиторской организации Общества.</w:t>
      </w:r>
      <w:r>
        <w:rPr>
          <w:lang w:eastAsia="en-US"/>
        </w:rPr>
      </w:r>
      <w:r>
        <w:rPr>
          <w:lang w:eastAsia="en-US"/>
        </w:rPr>
      </w:r>
    </w:p>
    <w:p>
      <w:pPr>
        <w:pStyle w:val="834"/>
        <w:ind w:firstLine="709"/>
        <w:jc w:val="both"/>
        <w:shd w:val="clear" w:color="auto" w:fill="ffffff"/>
        <w:widowControl w:val="off"/>
        <w:tabs>
          <w:tab w:val="left" w:pos="851" w:leader="none"/>
          <w:tab w:val="left" w:pos="993" w:leader="none"/>
        </w:tabs>
        <w:rPr>
          <w:color w:val="000000"/>
        </w:rPr>
      </w:pPr>
      <w:r>
        <w:rPr>
          <w:color w:val="000000"/>
        </w:rPr>
      </w:r>
      <w:r>
        <w:rPr>
          <w:color w:val="000000"/>
        </w:rPr>
      </w:r>
      <w:r>
        <w:rPr>
          <w:color w:val="000000"/>
        </w:rPr>
      </w:r>
    </w:p>
    <w:p>
      <w:pPr>
        <w:pStyle w:val="834"/>
        <w:ind w:firstLine="709"/>
        <w:jc w:val="both"/>
        <w:shd w:val="clear" w:color="auto" w:fill="ffffff"/>
        <w:tabs>
          <w:tab w:val="left" w:pos="532" w:leader="none"/>
          <w:tab w:val="left" w:pos="993" w:leader="none"/>
        </w:tabs>
        <w:rPr>
          <w:b/>
          <w:bCs/>
          <w:i/>
          <w:iCs/>
          <w:color w:val="000000"/>
          <w:highlight w:val="green"/>
        </w:rPr>
      </w:pPr>
      <w:r>
        <w:rPr>
          <w:color w:val="000000"/>
        </w:rPr>
        <w:t xml:space="preserve">С информацией (материалами) по вопросам повестки дня годового заседания общего собрания акционеров можно ознакомиться </w:t>
      </w:r>
      <w:r>
        <w:rPr>
          <w:b/>
          <w:color w:val="000000"/>
        </w:rPr>
        <w:t xml:space="preserve">в течение двадцати дней </w:t>
      </w:r>
      <w:r>
        <w:rPr>
          <w:color w:val="000000" w:themeColor="text1"/>
        </w:rPr>
        <w:t xml:space="preserve">до даты </w:t>
      </w:r>
      <w:r>
        <w:rPr>
          <w:color w:val="000000" w:themeColor="text1"/>
          <w:highlight w:val="white"/>
        </w:rPr>
        <w:t xml:space="preserve">проведения заседания</w:t>
      </w:r>
      <w:r>
        <w:rPr>
          <w:color w:val="000000" w:themeColor="text1"/>
          <w:highlight w:val="white"/>
        </w:rPr>
        <w:t xml:space="preserve"> и во время его проведения по адресу:</w:t>
      </w:r>
      <w:r>
        <w:rPr>
          <w:color w:val="000000"/>
        </w:rPr>
        <w:t xml:space="preserve"> </w:t>
      </w:r>
      <w:r>
        <w:rPr>
          <w:b/>
          <w:bCs/>
          <w:i/>
          <w:iCs/>
          <w:color w:val="000000"/>
        </w:rPr>
        <w:t xml:space="preserve">Хабаровский край, г. Хабаровск, ул. Брестская д. 51, кабинет 406 с понедельника по пятницу с 08 часов 00 минут до 12 часов 00 минут и с 13 часов 00 минут до 17 часов 00 минут, справки по тел. 8 (4212) 41-74-14, контактное лицо Елена Вадимовна Грось.</w:t>
      </w:r>
      <w:r>
        <w:rPr>
          <w:b/>
          <w:bCs/>
          <w:i/>
          <w:iCs/>
          <w:color w:val="000000"/>
          <w:highlight w:val="green"/>
        </w:rPr>
      </w:r>
      <w:r>
        <w:rPr>
          <w:b/>
          <w:bCs/>
          <w:i/>
          <w:iCs/>
          <w:color w:val="000000"/>
          <w:highlight w:val="green"/>
        </w:rPr>
      </w:r>
    </w:p>
    <w:p>
      <w:pPr>
        <w:pStyle w:val="834"/>
        <w:ind w:firstLine="709"/>
        <w:jc w:val="both"/>
        <w:shd w:val="clear" w:color="auto" w:fill="ffffff"/>
        <w:tabs>
          <w:tab w:val="left" w:pos="532" w:leader="none"/>
          <w:tab w:val="left" w:pos="993" w:leader="none"/>
        </w:tabs>
        <w:rPr>
          <w:bCs/>
          <w:i/>
          <w:color w:val="000000"/>
        </w:rPr>
      </w:pPr>
      <w:r>
        <w:rPr>
          <w:bCs/>
          <w:i/>
          <w:color w:val="000000"/>
        </w:rPr>
      </w:r>
      <w:r>
        <w:rPr>
          <w:bCs/>
          <w:i/>
          <w:color w:val="000000"/>
        </w:rPr>
      </w:r>
      <w:r>
        <w:rPr>
          <w:bCs/>
          <w:i/>
          <w:color w:val="000000"/>
        </w:rPr>
      </w:r>
    </w:p>
    <w:p>
      <w:pPr>
        <w:pStyle w:val="834"/>
        <w:ind w:firstLine="709"/>
        <w:jc w:val="both"/>
        <w:shd w:val="clear" w:color="auto" w:fill="ffffff"/>
        <w:tabs>
          <w:tab w:val="left" w:pos="993" w:leader="none"/>
          <w:tab w:val="left" w:pos="9923" w:leader="none"/>
        </w:tabs>
        <w:rPr>
          <w:bCs/>
          <w:iCs/>
          <w:color w:val="000000"/>
        </w:rPr>
      </w:pPr>
      <w:r>
        <w:rPr>
          <w:bCs/>
          <w:iCs/>
          <w:color w:val="000000"/>
        </w:rPr>
        <w:t xml:space="preserve">Право на участие в </w:t>
      </w:r>
      <w:r>
        <w:rPr>
          <w:bCs/>
          <w:iCs/>
          <w:color w:val="000000"/>
        </w:rPr>
        <w:t xml:space="preserve">годовом </w:t>
      </w:r>
      <w:r>
        <w:rPr>
          <w:bCs/>
          <w:iCs/>
          <w:color w:val="000000"/>
        </w:rPr>
        <w:t xml:space="preserve">заседании общего собрания акционеров</w:t>
      </w:r>
      <w:r>
        <w:rPr>
          <w:bCs/>
          <w:iCs/>
          <w:color w:val="000000"/>
        </w:rPr>
        <w:t xml:space="preserve"> Общества</w:t>
      </w:r>
      <w:r>
        <w:rPr>
          <w:bCs/>
          <w:iCs/>
          <w:color w:val="000000"/>
        </w:rPr>
        <w:t xml:space="preserve"> осуществляется акционером как лично, так и через своего представителя.</w:t>
      </w:r>
      <w:r>
        <w:rPr>
          <w:bCs/>
          <w:iCs/>
          <w:color w:val="000000"/>
        </w:rPr>
      </w:r>
      <w:r>
        <w:rPr>
          <w:bCs/>
          <w:iCs/>
          <w:color w:val="000000"/>
        </w:rPr>
      </w:r>
    </w:p>
    <w:p>
      <w:pPr>
        <w:pStyle w:val="834"/>
        <w:ind w:firstLine="709"/>
        <w:jc w:val="both"/>
        <w:tabs>
          <w:tab w:val="left" w:pos="993" w:leader="none"/>
        </w:tabs>
        <w:rPr>
          <w:color w:val="000000"/>
          <w:highlight w:val="white"/>
        </w:rPr>
      </w:pPr>
      <w:r>
        <w:rPr>
          <w:color w:val="000000"/>
        </w:rPr>
        <w:t xml:space="preserve">Акционеры, чьи права на ценные бумаги учитываются номинальным держателем, вправе принимать участие в </w:t>
      </w:r>
      <w:r>
        <w:rPr>
          <w:color w:val="000000"/>
        </w:rPr>
        <w:t xml:space="preserve">заседании</w:t>
      </w:r>
      <w:r>
        <w:rPr>
          <w:color w:val="000000"/>
        </w:rPr>
        <w:t xml:space="preserve"> и осуществлять свое право голоса путем дачи указаний (инструкций) номинальному держателю. Порядок дачи указаний (инструкций) определяются до</w:t>
      </w:r>
      <w:r>
        <w:rPr>
          <w:color w:val="000000"/>
          <w:highlight w:val="white"/>
        </w:rPr>
        <w:t xml:space="preserve">говором с номинальным держателем.</w:t>
      </w:r>
      <w:r>
        <w:rPr>
          <w:color w:val="000000"/>
          <w:highlight w:val="white"/>
        </w:rPr>
      </w:r>
      <w:r>
        <w:rPr>
          <w:color w:val="000000"/>
          <w:highlight w:val="white"/>
        </w:rPr>
      </w:r>
    </w:p>
    <w:p>
      <w:pPr>
        <w:pStyle w:val="834"/>
        <w:ind w:firstLine="709"/>
        <w:jc w:val="both"/>
        <w:tabs>
          <w:tab w:val="left" w:pos="993" w:leader="none"/>
        </w:tabs>
        <w:rPr>
          <w:color w:val="000000"/>
        </w:rPr>
      </w:pPr>
      <w:r>
        <w:rPr>
          <w:color w:val="000000"/>
          <w:highlight w:val="white"/>
        </w:rPr>
        <w:t xml:space="preserve">В случае изменения данных акционера, зарегистрированного в реестре акционеров общества, в том числе адресных данных, данных о банковских реквизитах, необходимо предоставить информацию об указанных изменениях регистратору Общества. </w:t>
      </w:r>
      <w:r>
        <w:rPr>
          <w:color w:val="000000"/>
        </w:rPr>
      </w:r>
      <w:r>
        <w:rPr>
          <w:color w:val="000000"/>
        </w:rPr>
      </w:r>
    </w:p>
    <w:p>
      <w:pPr>
        <w:pStyle w:val="834"/>
        <w:ind w:firstLine="709"/>
        <w:jc w:val="both"/>
        <w:tabs>
          <w:tab w:val="left" w:pos="993" w:leader="none"/>
        </w:tabs>
        <w:rPr>
          <w:color w:val="000000"/>
        </w:rPr>
      </w:pPr>
      <w:r>
        <w:rPr>
          <w:color w:val="000000"/>
        </w:rPr>
      </w:r>
      <w:r>
        <w:rPr>
          <w:color w:val="000000"/>
        </w:rPr>
      </w:r>
      <w:r>
        <w:rPr>
          <w:color w:val="000000"/>
        </w:rPr>
      </w:r>
    </w:p>
    <w:p>
      <w:pPr>
        <w:pStyle w:val="834"/>
        <w:jc w:val="both"/>
      </w:pPr>
      <w:r/>
      <w:r/>
    </w:p>
    <w:p>
      <w:pPr>
        <w:pStyle w:val="834"/>
        <w:jc w:val="both"/>
        <w:shd w:val="clear" w:color="auto" w:fill="ffffff"/>
        <w:tabs>
          <w:tab w:val="left" w:pos="567" w:leader="none"/>
        </w:tabs>
        <w:rPr>
          <w:b/>
          <w:sz w:val="22"/>
          <w:szCs w:val="22"/>
        </w:rPr>
      </w:pPr>
      <w:r>
        <w:rPr>
          <w:b/>
          <w:sz w:val="22"/>
          <w:szCs w:val="22"/>
        </w:rPr>
        <w:t xml:space="preserve">ДЛЯ УЧАСТИЯ В ОБЩЕМ СОБРАНИИ АКЦИОНЕРОВ НЕОБХОДИМО ИМЕТЬ ПРИ СЕБЕ:</w:t>
      </w:r>
      <w:r>
        <w:rPr>
          <w:b/>
          <w:sz w:val="22"/>
          <w:szCs w:val="22"/>
        </w:rPr>
      </w:r>
      <w:r>
        <w:rPr>
          <w:b/>
          <w:sz w:val="22"/>
          <w:szCs w:val="22"/>
        </w:rPr>
      </w:r>
    </w:p>
    <w:p>
      <w:pPr>
        <w:pStyle w:val="834"/>
        <w:ind w:firstLine="709"/>
        <w:jc w:val="both"/>
        <w:shd w:val="clear" w:color="auto" w:fill="ffffff"/>
        <w:tabs>
          <w:tab w:val="left" w:pos="567" w:leader="none"/>
        </w:tabs>
      </w:pPr>
      <w:r>
        <w:rPr>
          <w:b/>
          <w:u w:val="single"/>
        </w:rPr>
        <w:t xml:space="preserve">Физическому лицу</w:t>
      </w:r>
      <w:r>
        <w:t xml:space="preserve"> - паспорт или иной документ, удостоверяющий личность в соответствии с действующим </w:t>
      </w:r>
      <w:r>
        <w:t xml:space="preserve">законодательством (в случае смены паспорта в новом должен иметься штамп с реквизитами прежнего паспорта, либо предъявляется справка из уполномоченного государственного органа, выдавшего паспорт, с указанием реквизитов как нового, так и прежнего паспортов):</w:t>
      </w:r>
      <w:r/>
    </w:p>
    <w:p>
      <w:pPr>
        <w:pStyle w:val="834"/>
        <w:ind w:firstLine="709"/>
        <w:jc w:val="both"/>
        <w:shd w:val="clear" w:color="auto" w:fill="ffffff"/>
        <w:tabs>
          <w:tab w:val="left" w:pos="567" w:leader="none"/>
        </w:tabs>
      </w:pPr>
      <w:r>
        <w:rPr>
          <w:b/>
          <w:u w:val="single"/>
        </w:rPr>
        <w:t xml:space="preserve">Уполномоченному представителю физического лица</w:t>
      </w:r>
      <w:r>
        <w:t xml:space="preserve"> - кроме документа, удостоверяющего личность, иметь доверенность, оформленную в соответствии с требованиями ст. 185 ГК РФ или удостоверенную нотариально. </w:t>
      </w:r>
      <w:r/>
    </w:p>
    <w:p>
      <w:pPr>
        <w:pStyle w:val="834"/>
        <w:ind w:firstLine="709"/>
        <w:jc w:val="both"/>
        <w:tabs>
          <w:tab w:val="left" w:pos="1701" w:leader="none"/>
          <w:tab w:val="left" w:pos="2552" w:leader="none"/>
          <w:tab w:val="left" w:pos="9923" w:leader="none"/>
        </w:tabs>
        <w:rPr>
          <w:iCs/>
        </w:rPr>
      </w:pPr>
      <w:r>
        <w:rPr>
          <w:b/>
          <w:u w:val="single"/>
        </w:rPr>
        <w:t xml:space="preserve">Уполномоченному представителю юридического лица</w:t>
      </w:r>
      <w:r>
        <w:t xml:space="preserve"> - кроме докум</w:t>
      </w:r>
      <w:r>
        <w:t xml:space="preserve">ента, удостоверяющего личность, иметь документы, подтверждающие его право действовать от имени юридического лица без доверенности (документ, подтверждающий его назначение на должность) либо доверенность, оформленную в соответствии с требованиями ст. 185.1 </w:t>
      </w:r>
      <w:r>
        <w:rPr>
          <w:iCs/>
        </w:rPr>
        <w:t xml:space="preserve">Гражданского кодекса Российской Федерации или удостоверенную нотариально. </w:t>
      </w:r>
      <w:r>
        <w:rPr>
          <w:iCs/>
        </w:rPr>
      </w:r>
      <w:r>
        <w:rPr>
          <w:iCs/>
        </w:rPr>
      </w:r>
    </w:p>
    <w:p>
      <w:pPr>
        <w:pStyle w:val="834"/>
        <w:ind w:firstLine="709"/>
        <w:jc w:val="both"/>
        <w:rPr>
          <w:iCs/>
        </w:rPr>
      </w:pPr>
      <w:r>
        <w:rPr>
          <w:iCs/>
        </w:rPr>
        <w:t xml:space="preserve">Доверенность на голосование должна содержать сведения о представляемом и представителе (для физического лица - имя, данные документа, у</w:t>
      </w:r>
      <w:r>
        <w:rPr>
          <w:iCs/>
        </w:rPr>
        <w:t xml:space="preserve">достоверяющего личность (серия и (или) номер документа, дата и место его выдачи, орган, выдавший документ), для юридического лица - наименование, сведения о месте нахождения). Доверенность на голосование должна быть оформлена в соответствии с требованиями </w:t>
      </w:r>
      <w:r>
        <w:fldChar w:fldCharType="begin"/>
      </w:r>
      <w:r>
        <w:instrText xml:space="preserve"> HYPERLINK "consultantplus://offline/ref=E8A</w:instrText>
      </w:r>
      <w:r>
        <w:instrText xml:space="preserve">6DE5D2340E232D26F92EFCE4A7092BCFBFF6F5BF3FDD6BE71C61629C81A6E416FF7BCEBFA3E954C52FA28D789A490E4BBE2C006M9v5L" \o "consultantplus://offline/ref=E8A6DE5D2340E232D26F92EFCE4A7092BCFBFF6F5BF3FDD6BE71C61629C81A6E416FF7BCEBFA3E954C52FA28D789A490E4BBE2C006M9v5L" </w:instrText>
      </w:r>
      <w:r>
        <w:fldChar w:fldCharType="separate"/>
      </w:r>
      <w:r>
        <w:rPr>
          <w:rStyle w:val="840"/>
          <w:iCs/>
        </w:rPr>
        <w:t xml:space="preserve">пунктов 3</w:t>
      </w:r>
      <w:r>
        <w:rPr>
          <w:rStyle w:val="840"/>
          <w:iCs/>
          <w:color w:val="000000"/>
          <w:u w:val="none"/>
        </w:rPr>
        <w:fldChar w:fldCharType="end"/>
      </w:r>
      <w:r>
        <w:rPr>
          <w:iCs/>
        </w:rPr>
        <w:t xml:space="preserve"> и </w:t>
      </w:r>
      <w:r>
        <w:fldChar w:fldCharType="begin"/>
      </w:r>
      <w:r>
        <w:instrText xml:space="preserve"> HYPERLINK "consultantplus://offline/ref=E8A</w:instrText>
      </w:r>
      <w:r>
        <w:instrText xml:space="preserve">6DE5D2340E232D26F92EFCE4A7092BCFBFF6F5BF3FDD6BE71C61629C81A6E416FF7BCEBFB3E954C52FA28D789A490E4BBE2C006M9v5L" \o "consultantplus://offline/ref=E8A6DE5D2340E232D26F92EFCE4A7092BCFBFF6F5BF3FDD6BE71C61629C81A6E416FF7BCEBFB3E954C52FA28D789A490E4BBE2C006M9v5L" </w:instrText>
      </w:r>
      <w:r>
        <w:fldChar w:fldCharType="separate"/>
      </w:r>
      <w:r>
        <w:rPr>
          <w:rStyle w:val="840"/>
          <w:iCs/>
        </w:rPr>
        <w:t xml:space="preserve">4 статьи 185.1</w:t>
      </w:r>
      <w:r>
        <w:rPr>
          <w:rStyle w:val="840"/>
          <w:iCs/>
          <w:color w:val="000000"/>
          <w:u w:val="none"/>
        </w:rPr>
        <w:fldChar w:fldCharType="end"/>
      </w:r>
      <w:r>
        <w:rPr>
          <w:iCs/>
        </w:rPr>
        <w:t xml:space="preserve"> Гражданского кодекса Российской Федерации или удостоверена нотариально.</w:t>
      </w:r>
      <w:r>
        <w:rPr>
          <w:iCs/>
        </w:rPr>
      </w:r>
      <w:r>
        <w:rPr>
          <w:iCs/>
        </w:rPr>
      </w:r>
    </w:p>
    <w:p>
      <w:pPr>
        <w:pStyle w:val="834"/>
        <w:ind w:firstLine="709"/>
        <w:jc w:val="both"/>
        <w:shd w:val="clear" w:color="auto" w:fill="ffffff"/>
        <w:tabs>
          <w:tab w:val="left" w:pos="1701" w:leader="none"/>
          <w:tab w:val="left" w:pos="2552" w:leader="none"/>
        </w:tabs>
        <w:rPr>
          <w:iCs/>
          <w:spacing w:val="-1"/>
        </w:rPr>
      </w:pPr>
      <w:r>
        <w:rPr>
          <w:iCs/>
        </w:rPr>
        <w:t xml:space="preserve">В случае правопреемства - документы, удостоверяющие полномочия правопреемников и представителей лиц, имеющих право на участие в общем собрании акционеров, (их копии, засвидетельствованные нотариально)</w:t>
      </w:r>
      <w:r>
        <w:rPr>
          <w:iCs/>
          <w:spacing w:val="-1"/>
        </w:rPr>
        <w:t xml:space="preserve">.</w:t>
      </w:r>
      <w:r>
        <w:rPr>
          <w:iCs/>
          <w:spacing w:val="-1"/>
        </w:rPr>
      </w:r>
      <w:r>
        <w:rPr>
          <w:iCs/>
          <w:spacing w:val="-1"/>
        </w:rPr>
      </w:r>
    </w:p>
    <w:p>
      <w:pPr>
        <w:pStyle w:val="834"/>
        <w:ind w:firstLine="709"/>
        <w:jc w:val="both"/>
        <w:rPr>
          <w:iCs/>
          <w:color w:val="000000"/>
        </w:rPr>
      </w:pPr>
      <w:r>
        <w:rPr>
          <w:iCs/>
        </w:rPr>
        <w:t xml:space="preserve">Документы, удостоверяющие полномочия правопреемников и представителей </w:t>
      </w:r>
      <w:r>
        <w:rPr>
          <w:iCs/>
          <w:color w:val="000000"/>
        </w:rPr>
        <w:t xml:space="preserve">лиц, включённых в список лиц, имеющих право на участие в общем собрании (их копии, засвидетельствованные нотариально), должны быть </w:t>
      </w:r>
      <w:r>
        <w:rPr>
          <w:bCs/>
          <w:iCs/>
          <w:color w:val="000000"/>
        </w:rPr>
        <w:t xml:space="preserve">направлены вместе с бюллетенем для голосования</w:t>
      </w:r>
      <w:r>
        <w:rPr>
          <w:iCs/>
          <w:color w:val="000000"/>
        </w:rPr>
        <w:t xml:space="preserve">.</w:t>
      </w:r>
      <w:r>
        <w:rPr>
          <w:iCs/>
          <w:color w:val="000000"/>
        </w:rPr>
      </w:r>
      <w:r>
        <w:rPr>
          <w:iCs/>
          <w:color w:val="000000"/>
        </w:rPr>
      </w:r>
    </w:p>
    <w:p>
      <w:pPr>
        <w:pStyle w:val="834"/>
        <w:ind w:firstLine="709"/>
        <w:jc w:val="both"/>
        <w:rPr>
          <w:iCs/>
          <w:color w:val="000000"/>
        </w:rPr>
      </w:pPr>
      <w:r>
        <w:rPr>
          <w:iCs/>
          <w:color w:val="000000"/>
          <w:highlight w:val="white"/>
        </w:rPr>
        <w:t xml:space="preserve">Принявшим участие в </w:t>
      </w:r>
      <w:r>
        <w:rPr>
          <w:bCs/>
        </w:rPr>
        <w:t xml:space="preserve">годовом заседании общего собрания акционеров</w:t>
      </w:r>
      <w:r>
        <w:rPr>
          <w:iCs/>
          <w:color w:val="000000"/>
          <w:highlight w:val="white"/>
        </w:rPr>
        <w:t xml:space="preserve"> будет считаться:</w:t>
      </w:r>
      <w:r>
        <w:rPr>
          <w:iCs/>
          <w:color w:val="000000"/>
        </w:rPr>
      </w:r>
      <w:r>
        <w:rPr>
          <w:iCs/>
          <w:color w:val="000000"/>
        </w:rPr>
      </w:r>
    </w:p>
    <w:p>
      <w:pPr>
        <w:pStyle w:val="834"/>
        <w:ind w:firstLine="709"/>
        <w:jc w:val="both"/>
        <w:rPr>
          <w:rFonts w:eastAsia="Calibri"/>
          <w:lang w:eastAsia="en-US"/>
        </w:rPr>
      </w:pPr>
      <w:r>
        <w:rPr>
          <w:rFonts w:eastAsia="Calibri"/>
          <w:lang w:eastAsia="en-US"/>
        </w:rPr>
        <w:t xml:space="preserve">– акционеры, </w:t>
      </w:r>
      <w:r>
        <w:fldChar w:fldCharType="begin"/>
      </w:r>
      <w:r>
        <w:instrText xml:space="preserve"> HYPERLINK "consultantplus://offline/ref=EF0589700282FFD</w:instrText>
      </w:r>
      <w:r>
        <w:instrText xml:space="preserve">B6E20886F6A586AB36B67AAAFC2B48ADB582214467E5F40FD04CB11166E15641946947BF7D75333B623AD4021CCD36814U4x9L" \o "consultantplus://offline/ref=EF0589700282FFDB6E20886F6A586AB36B67AAAFC2B48ADB582214467E5F40FD04CB11166E15641946947BF7D75333B623AD4021CCD36814U4x9L" </w:instrText>
      </w:r>
      <w:r>
        <w:fldChar w:fldCharType="separate"/>
      </w:r>
      <w:r>
        <w:rPr>
          <w:rFonts w:eastAsia="Calibri"/>
          <w:lang w:eastAsia="en-US"/>
        </w:rPr>
        <w:t xml:space="preserve">зарегистрировавшиеся</w:t>
      </w:r>
      <w:r>
        <w:rPr>
          <w:rFonts w:eastAsia="Calibri"/>
          <w:lang w:eastAsia="en-US"/>
        </w:rPr>
        <w:fldChar w:fldCharType="end"/>
      </w:r>
      <w:r>
        <w:rPr>
          <w:rFonts w:eastAsia="Calibri"/>
          <w:lang w:eastAsia="en-US"/>
        </w:rPr>
        <w:t xml:space="preserve"> для участия в </w:t>
      </w:r>
      <w:r>
        <w:rPr>
          <w:rFonts w:eastAsia="Calibri"/>
          <w:bCs/>
          <w:lang w:eastAsia="en-US"/>
        </w:rPr>
        <w:t xml:space="preserve">годовом заседании общего собрания акционеров</w:t>
      </w:r>
      <w:r>
        <w:rPr>
          <w:rFonts w:eastAsia="Calibri"/>
          <w:lang w:eastAsia="en-US"/>
        </w:rPr>
        <w:t xml:space="preserve">, </w:t>
      </w:r>
      <w:r>
        <w:rPr>
          <w:rFonts w:eastAsia="Calibri"/>
          <w:lang w:eastAsia="en-US"/>
        </w:rPr>
      </w:r>
      <w:r>
        <w:rPr>
          <w:rFonts w:eastAsia="Calibri"/>
          <w:lang w:eastAsia="en-US"/>
        </w:rPr>
      </w:r>
    </w:p>
    <w:p>
      <w:pPr>
        <w:pStyle w:val="834"/>
        <w:ind w:firstLine="709"/>
        <w:jc w:val="both"/>
        <w:rPr>
          <w:b/>
          <w:iCs/>
          <w:color w:val="000000"/>
        </w:rPr>
      </w:pPr>
      <w:r>
        <w:rPr>
          <w:rFonts w:eastAsia="Calibri"/>
          <w:lang w:eastAsia="en-US"/>
        </w:rPr>
        <w:t xml:space="preserve">- акционеры, бюллетени которых получены за два дня до даты проведения годового заседания общего собрания акционеров, последний день приема бюллетеней</w:t>
      </w:r>
      <w:r>
        <w:rPr>
          <w:iCs/>
          <w:color w:val="000000"/>
        </w:rPr>
        <w:t xml:space="preserve"> – </w:t>
      </w:r>
      <w:r>
        <w:rPr>
          <w:b/>
          <w:iCs/>
          <w:color w:val="000000"/>
        </w:rPr>
        <w:t xml:space="preserve">2</w:t>
      </w:r>
      <w:r>
        <w:rPr>
          <w:b/>
          <w:bCs/>
          <w:iCs/>
          <w:color w:val="000000"/>
        </w:rPr>
        <w:t xml:space="preserve">7.06.2026</w:t>
      </w:r>
      <w:r>
        <w:rPr>
          <w:b/>
          <w:iCs/>
          <w:color w:val="000000"/>
        </w:rPr>
        <w:t xml:space="preserve">; </w:t>
      </w:r>
      <w:r>
        <w:rPr>
          <w:b/>
          <w:iCs/>
          <w:color w:val="000000"/>
        </w:rPr>
      </w:r>
      <w:r>
        <w:rPr>
          <w:b/>
          <w:iCs/>
          <w:color w:val="000000"/>
        </w:rPr>
      </w:r>
    </w:p>
    <w:p>
      <w:pPr>
        <w:pStyle w:val="834"/>
        <w:ind w:firstLine="709"/>
        <w:jc w:val="both"/>
        <w:rPr>
          <w:b/>
          <w:bCs/>
          <w:iCs/>
          <w:color w:val="000000"/>
        </w:rPr>
      </w:pPr>
      <w:r>
        <w:rPr>
          <w:iCs/>
          <w:color w:val="000000"/>
        </w:rPr>
        <w:t xml:space="preserve">- акционеры, которые в соответствии с правилами законодательства Российской Федерации о ценных бумагах дали лицу, осуществляющему учёт их прав на акции, указания (инструкции) о голосовании, если сообщение о его волеизъявлении получено </w:t>
      </w:r>
      <w:r>
        <w:rPr>
          <w:rFonts w:eastAsia="Calibri"/>
          <w:lang w:eastAsia="en-US"/>
        </w:rPr>
        <w:t xml:space="preserve">получены за два дня до даты проведения заседания общего собрания акционеров</w:t>
      </w:r>
      <w:r>
        <w:rPr>
          <w:iCs/>
          <w:color w:val="000000"/>
        </w:rPr>
        <w:t xml:space="preserve">– </w:t>
      </w:r>
      <w:r>
        <w:rPr>
          <w:b/>
          <w:bCs/>
          <w:iCs/>
          <w:color w:val="000000"/>
        </w:rPr>
        <w:t xml:space="preserve">2</w:t>
      </w:r>
      <w:r>
        <w:rPr>
          <w:b/>
          <w:bCs/>
          <w:iCs/>
          <w:color w:val="000000"/>
        </w:rPr>
        <w:t xml:space="preserve">7.06.2026.</w:t>
      </w:r>
      <w:r>
        <w:rPr>
          <w:b/>
          <w:bCs/>
          <w:iCs/>
          <w:color w:val="000000"/>
        </w:rPr>
      </w:r>
      <w:r>
        <w:rPr>
          <w:b/>
          <w:bCs/>
          <w:iCs/>
          <w:color w:val="000000"/>
        </w:rPr>
      </w:r>
    </w:p>
    <w:p>
      <w:pPr>
        <w:pStyle w:val="834"/>
        <w:jc w:val="both"/>
        <w:shd w:val="clear" w:color="auto" w:fill="ffffff"/>
        <w:tabs>
          <w:tab w:val="left" w:pos="993" w:leader="none"/>
          <w:tab w:val="left" w:pos="9923" w:leader="none"/>
        </w:tabs>
        <w:rPr>
          <w:sz w:val="22"/>
          <w:szCs w:val="22"/>
        </w:rPr>
      </w:pPr>
      <w:r>
        <w:rPr>
          <w:sz w:val="22"/>
          <w:szCs w:val="22"/>
        </w:rPr>
      </w:r>
      <w:r>
        <w:rPr>
          <w:sz w:val="22"/>
          <w:szCs w:val="22"/>
        </w:rPr>
      </w:r>
      <w:r>
        <w:rPr>
          <w:sz w:val="22"/>
          <w:szCs w:val="22"/>
        </w:rPr>
      </w:r>
    </w:p>
    <w:p>
      <w:pPr>
        <w:pStyle w:val="834"/>
        <w:ind w:firstLine="709"/>
        <w:jc w:val="both"/>
        <w:rPr>
          <w:rFonts w:eastAsia="Calibri"/>
          <w:color w:val="000000"/>
          <w:lang w:eastAsia="en-US"/>
        </w:rPr>
      </w:pPr>
      <w:r>
        <w:rPr>
          <w:rFonts w:eastAsia="Calibri"/>
          <w:color w:val="000000"/>
          <w:lang w:eastAsia="en-US"/>
        </w:rPr>
      </w:r>
      <w:r>
        <w:rPr>
          <w:rFonts w:eastAsia="Calibri"/>
          <w:color w:val="000000"/>
          <w:lang w:eastAsia="en-US"/>
        </w:rPr>
      </w:r>
      <w:r>
        <w:rPr>
          <w:rFonts w:eastAsia="Calibri"/>
          <w:color w:val="000000"/>
          <w:lang w:eastAsia="en-US"/>
        </w:rPr>
      </w:r>
    </w:p>
    <w:p>
      <w:pPr>
        <w:pStyle w:val="834"/>
        <w:jc w:val="both"/>
      </w:pPr>
      <w:r/>
      <w:r/>
    </w:p>
    <w:p>
      <w:pPr>
        <w:pStyle w:val="834"/>
        <w:jc w:val="both"/>
      </w:pPr>
      <w:r/>
      <w:r/>
    </w:p>
    <w:p>
      <w:pPr>
        <w:pStyle w:val="834"/>
        <w:jc w:val="both"/>
      </w:pPr>
      <w:r/>
      <w:r/>
    </w:p>
    <w:p>
      <w:pPr>
        <w:pStyle w:val="834"/>
        <w:jc w:val="both"/>
      </w:pPr>
      <w:r/>
      <w:r/>
    </w:p>
    <w:p>
      <w:pPr>
        <w:pStyle w:val="834"/>
        <w:jc w:val="both"/>
      </w:pPr>
      <w:r/>
      <w:r/>
    </w:p>
    <w:p>
      <w:pPr>
        <w:pStyle w:val="834"/>
        <w:jc w:val="both"/>
      </w:pPr>
      <w:r/>
      <w:r/>
    </w:p>
    <w:sectPr>
      <w:footnotePr/>
      <w:endnotePr/>
      <w:type w:val="nextPage"/>
      <w:pgSz w:w="11906" w:h="16838" w:orient="portrait"/>
      <w:pgMar w:top="284" w:right="567" w:bottom="357" w:left="1134"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Calibri">
    <w:panose1 w:val="020F0502020204030204"/>
  </w:font>
  <w:font w:name="Segoe UI">
    <w:panose1 w:val="020B0503020204020204"/>
  </w:font>
  <w:font w:name="Arial">
    <w:panose1 w:val="020B0604020202020204"/>
  </w:font>
  <w:font w:name="Cambria">
    <w:panose1 w:val="020408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6">
    <w:name w:val="Heading 1"/>
    <w:basedOn w:val="834"/>
    <w:next w:val="834"/>
    <w:link w:val="657"/>
    <w:uiPriority w:val="9"/>
    <w:qFormat/>
    <w:pPr>
      <w:keepLines/>
      <w:keepNext/>
      <w:spacing w:before="480" w:after="200"/>
      <w:outlineLvl w:val="0"/>
    </w:pPr>
    <w:rPr>
      <w:rFonts w:ascii="Arial" w:hAnsi="Arial" w:eastAsia="Arial" w:cs="Arial"/>
      <w:sz w:val="40"/>
      <w:szCs w:val="40"/>
    </w:rPr>
  </w:style>
  <w:style w:type="character" w:styleId="657">
    <w:name w:val="Heading 1 Char"/>
    <w:link w:val="656"/>
    <w:uiPriority w:val="9"/>
    <w:rPr>
      <w:rFonts w:ascii="Arial" w:hAnsi="Arial" w:eastAsia="Arial" w:cs="Arial"/>
      <w:sz w:val="40"/>
      <w:szCs w:val="40"/>
    </w:rPr>
  </w:style>
  <w:style w:type="paragraph" w:styleId="658">
    <w:name w:val="Heading 2"/>
    <w:basedOn w:val="834"/>
    <w:next w:val="834"/>
    <w:link w:val="659"/>
    <w:uiPriority w:val="9"/>
    <w:unhideWhenUsed/>
    <w:qFormat/>
    <w:pPr>
      <w:keepLines/>
      <w:keepNext/>
      <w:spacing w:before="360" w:after="200"/>
      <w:outlineLvl w:val="1"/>
    </w:pPr>
    <w:rPr>
      <w:rFonts w:ascii="Arial" w:hAnsi="Arial" w:eastAsia="Arial" w:cs="Arial"/>
      <w:sz w:val="34"/>
    </w:rPr>
  </w:style>
  <w:style w:type="character" w:styleId="659">
    <w:name w:val="Heading 2 Char"/>
    <w:link w:val="658"/>
    <w:uiPriority w:val="9"/>
    <w:rPr>
      <w:rFonts w:ascii="Arial" w:hAnsi="Arial" w:eastAsia="Arial" w:cs="Arial"/>
      <w:sz w:val="34"/>
    </w:rPr>
  </w:style>
  <w:style w:type="paragraph" w:styleId="660">
    <w:name w:val="Heading 3"/>
    <w:basedOn w:val="834"/>
    <w:next w:val="834"/>
    <w:link w:val="661"/>
    <w:uiPriority w:val="9"/>
    <w:unhideWhenUsed/>
    <w:qFormat/>
    <w:pPr>
      <w:keepLines/>
      <w:keepNext/>
      <w:spacing w:before="320" w:after="200"/>
      <w:outlineLvl w:val="2"/>
    </w:pPr>
    <w:rPr>
      <w:rFonts w:ascii="Arial" w:hAnsi="Arial" w:eastAsia="Arial" w:cs="Arial"/>
      <w:sz w:val="30"/>
      <w:szCs w:val="30"/>
    </w:rPr>
  </w:style>
  <w:style w:type="character" w:styleId="661">
    <w:name w:val="Heading 3 Char"/>
    <w:link w:val="660"/>
    <w:uiPriority w:val="9"/>
    <w:rPr>
      <w:rFonts w:ascii="Arial" w:hAnsi="Arial" w:eastAsia="Arial" w:cs="Arial"/>
      <w:sz w:val="30"/>
      <w:szCs w:val="30"/>
    </w:rPr>
  </w:style>
  <w:style w:type="paragraph" w:styleId="662">
    <w:name w:val="Heading 4"/>
    <w:basedOn w:val="834"/>
    <w:next w:val="834"/>
    <w:link w:val="663"/>
    <w:uiPriority w:val="9"/>
    <w:unhideWhenUsed/>
    <w:qFormat/>
    <w:pPr>
      <w:keepLines/>
      <w:keepNext/>
      <w:spacing w:before="320" w:after="200"/>
      <w:outlineLvl w:val="3"/>
    </w:pPr>
    <w:rPr>
      <w:rFonts w:ascii="Arial" w:hAnsi="Arial" w:eastAsia="Arial" w:cs="Arial"/>
      <w:b/>
      <w:bCs/>
      <w:sz w:val="26"/>
      <w:szCs w:val="26"/>
    </w:rPr>
  </w:style>
  <w:style w:type="character" w:styleId="663">
    <w:name w:val="Heading 4 Char"/>
    <w:link w:val="662"/>
    <w:uiPriority w:val="9"/>
    <w:rPr>
      <w:rFonts w:ascii="Arial" w:hAnsi="Arial" w:eastAsia="Arial" w:cs="Arial"/>
      <w:b/>
      <w:bCs/>
      <w:sz w:val="26"/>
      <w:szCs w:val="26"/>
    </w:rPr>
  </w:style>
  <w:style w:type="paragraph" w:styleId="664">
    <w:name w:val="Heading 5"/>
    <w:basedOn w:val="834"/>
    <w:next w:val="834"/>
    <w:link w:val="665"/>
    <w:uiPriority w:val="9"/>
    <w:unhideWhenUsed/>
    <w:qFormat/>
    <w:pPr>
      <w:keepLines/>
      <w:keepNext/>
      <w:spacing w:before="320" w:after="200"/>
      <w:outlineLvl w:val="4"/>
    </w:pPr>
    <w:rPr>
      <w:rFonts w:ascii="Arial" w:hAnsi="Arial" w:eastAsia="Arial" w:cs="Arial"/>
      <w:b/>
      <w:bCs/>
      <w:sz w:val="24"/>
      <w:szCs w:val="24"/>
    </w:rPr>
  </w:style>
  <w:style w:type="character" w:styleId="665">
    <w:name w:val="Heading 5 Char"/>
    <w:link w:val="664"/>
    <w:uiPriority w:val="9"/>
    <w:rPr>
      <w:rFonts w:ascii="Arial" w:hAnsi="Arial" w:eastAsia="Arial" w:cs="Arial"/>
      <w:b/>
      <w:bCs/>
      <w:sz w:val="24"/>
      <w:szCs w:val="24"/>
    </w:rPr>
  </w:style>
  <w:style w:type="paragraph" w:styleId="666">
    <w:name w:val="Heading 6"/>
    <w:basedOn w:val="834"/>
    <w:next w:val="834"/>
    <w:link w:val="667"/>
    <w:uiPriority w:val="9"/>
    <w:unhideWhenUsed/>
    <w:qFormat/>
    <w:pPr>
      <w:keepLines/>
      <w:keepNext/>
      <w:spacing w:before="320" w:after="200"/>
      <w:outlineLvl w:val="5"/>
    </w:pPr>
    <w:rPr>
      <w:rFonts w:ascii="Arial" w:hAnsi="Arial" w:eastAsia="Arial" w:cs="Arial"/>
      <w:b/>
      <w:bCs/>
      <w:sz w:val="22"/>
      <w:szCs w:val="22"/>
    </w:rPr>
  </w:style>
  <w:style w:type="character" w:styleId="667">
    <w:name w:val="Heading 6 Char"/>
    <w:link w:val="666"/>
    <w:uiPriority w:val="9"/>
    <w:rPr>
      <w:rFonts w:ascii="Arial" w:hAnsi="Arial" w:eastAsia="Arial" w:cs="Arial"/>
      <w:b/>
      <w:bCs/>
      <w:sz w:val="22"/>
      <w:szCs w:val="22"/>
    </w:rPr>
  </w:style>
  <w:style w:type="paragraph" w:styleId="668">
    <w:name w:val="Heading 7"/>
    <w:basedOn w:val="834"/>
    <w:next w:val="834"/>
    <w:link w:val="669"/>
    <w:uiPriority w:val="9"/>
    <w:unhideWhenUsed/>
    <w:qFormat/>
    <w:pPr>
      <w:keepLines/>
      <w:keepNext/>
      <w:spacing w:before="320" w:after="200"/>
      <w:outlineLvl w:val="6"/>
    </w:pPr>
    <w:rPr>
      <w:rFonts w:ascii="Arial" w:hAnsi="Arial" w:eastAsia="Arial" w:cs="Arial"/>
      <w:b/>
      <w:bCs/>
      <w:i/>
      <w:iCs/>
      <w:sz w:val="22"/>
      <w:szCs w:val="22"/>
    </w:rPr>
  </w:style>
  <w:style w:type="character" w:styleId="669">
    <w:name w:val="Heading 7 Char"/>
    <w:link w:val="668"/>
    <w:uiPriority w:val="9"/>
    <w:rPr>
      <w:rFonts w:ascii="Arial" w:hAnsi="Arial" w:eastAsia="Arial" w:cs="Arial"/>
      <w:b/>
      <w:bCs/>
      <w:i/>
      <w:iCs/>
      <w:sz w:val="22"/>
      <w:szCs w:val="22"/>
    </w:rPr>
  </w:style>
  <w:style w:type="paragraph" w:styleId="670">
    <w:name w:val="Heading 8"/>
    <w:basedOn w:val="834"/>
    <w:next w:val="834"/>
    <w:link w:val="671"/>
    <w:uiPriority w:val="9"/>
    <w:unhideWhenUsed/>
    <w:qFormat/>
    <w:pPr>
      <w:keepLines/>
      <w:keepNext/>
      <w:spacing w:before="320" w:after="200"/>
      <w:outlineLvl w:val="7"/>
    </w:pPr>
    <w:rPr>
      <w:rFonts w:ascii="Arial" w:hAnsi="Arial" w:eastAsia="Arial" w:cs="Arial"/>
      <w:i/>
      <w:iCs/>
      <w:sz w:val="22"/>
      <w:szCs w:val="22"/>
    </w:rPr>
  </w:style>
  <w:style w:type="character" w:styleId="671">
    <w:name w:val="Heading 8 Char"/>
    <w:link w:val="670"/>
    <w:uiPriority w:val="9"/>
    <w:rPr>
      <w:rFonts w:ascii="Arial" w:hAnsi="Arial" w:eastAsia="Arial" w:cs="Arial"/>
      <w:i/>
      <w:iCs/>
      <w:sz w:val="22"/>
      <w:szCs w:val="22"/>
    </w:rPr>
  </w:style>
  <w:style w:type="paragraph" w:styleId="672">
    <w:name w:val="Heading 9"/>
    <w:basedOn w:val="834"/>
    <w:next w:val="834"/>
    <w:link w:val="673"/>
    <w:uiPriority w:val="9"/>
    <w:unhideWhenUsed/>
    <w:qFormat/>
    <w:pPr>
      <w:keepLines/>
      <w:keepNext/>
      <w:spacing w:before="320" w:after="200"/>
      <w:outlineLvl w:val="8"/>
    </w:pPr>
    <w:rPr>
      <w:rFonts w:ascii="Arial" w:hAnsi="Arial" w:eastAsia="Arial" w:cs="Arial"/>
      <w:i/>
      <w:iCs/>
      <w:sz w:val="21"/>
      <w:szCs w:val="21"/>
    </w:rPr>
  </w:style>
  <w:style w:type="character" w:styleId="673">
    <w:name w:val="Heading 9 Char"/>
    <w:link w:val="672"/>
    <w:uiPriority w:val="9"/>
    <w:rPr>
      <w:rFonts w:ascii="Arial" w:hAnsi="Arial" w:eastAsia="Arial" w:cs="Arial"/>
      <w:i/>
      <w:iCs/>
      <w:sz w:val="21"/>
      <w:szCs w:val="21"/>
    </w:rPr>
  </w:style>
  <w:style w:type="paragraph" w:styleId="674">
    <w:name w:val="List Paragraph"/>
    <w:basedOn w:val="834"/>
    <w:uiPriority w:val="34"/>
    <w:qFormat/>
    <w:pPr>
      <w:contextualSpacing/>
      <w:ind w:left="720"/>
    </w:pPr>
  </w:style>
  <w:style w:type="paragraph" w:styleId="675">
    <w:name w:val="No Spacing"/>
    <w:uiPriority w:val="1"/>
    <w:qFormat/>
    <w:pPr>
      <w:spacing w:before="0" w:after="0" w:line="240" w:lineRule="auto"/>
    </w:pPr>
  </w:style>
  <w:style w:type="paragraph" w:styleId="676">
    <w:name w:val="Title"/>
    <w:basedOn w:val="834"/>
    <w:next w:val="834"/>
    <w:link w:val="677"/>
    <w:uiPriority w:val="10"/>
    <w:qFormat/>
    <w:pPr>
      <w:contextualSpacing/>
      <w:spacing w:before="300" w:after="200"/>
    </w:pPr>
    <w:rPr>
      <w:sz w:val="48"/>
      <w:szCs w:val="48"/>
    </w:rPr>
  </w:style>
  <w:style w:type="character" w:styleId="677">
    <w:name w:val="Title Char"/>
    <w:link w:val="676"/>
    <w:uiPriority w:val="10"/>
    <w:rPr>
      <w:sz w:val="48"/>
      <w:szCs w:val="48"/>
    </w:rPr>
  </w:style>
  <w:style w:type="paragraph" w:styleId="678">
    <w:name w:val="Subtitle"/>
    <w:basedOn w:val="834"/>
    <w:next w:val="834"/>
    <w:link w:val="679"/>
    <w:uiPriority w:val="11"/>
    <w:qFormat/>
    <w:pPr>
      <w:spacing w:before="200" w:after="200"/>
    </w:pPr>
    <w:rPr>
      <w:sz w:val="24"/>
      <w:szCs w:val="24"/>
    </w:rPr>
  </w:style>
  <w:style w:type="character" w:styleId="679">
    <w:name w:val="Subtitle Char"/>
    <w:link w:val="678"/>
    <w:uiPriority w:val="11"/>
    <w:rPr>
      <w:sz w:val="24"/>
      <w:szCs w:val="24"/>
    </w:rPr>
  </w:style>
  <w:style w:type="paragraph" w:styleId="680">
    <w:name w:val="Quote"/>
    <w:basedOn w:val="834"/>
    <w:next w:val="834"/>
    <w:link w:val="681"/>
    <w:uiPriority w:val="29"/>
    <w:qFormat/>
    <w:pPr>
      <w:ind w:left="720" w:right="720"/>
    </w:pPr>
    <w:rPr>
      <w:i/>
    </w:rPr>
  </w:style>
  <w:style w:type="character" w:styleId="681">
    <w:name w:val="Quote Char"/>
    <w:link w:val="680"/>
    <w:uiPriority w:val="29"/>
    <w:rPr>
      <w:i/>
    </w:rPr>
  </w:style>
  <w:style w:type="paragraph" w:styleId="682">
    <w:name w:val="Intense Quote"/>
    <w:basedOn w:val="834"/>
    <w:next w:val="834"/>
    <w:link w:val="683"/>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683">
    <w:name w:val="Intense Quote Char"/>
    <w:link w:val="682"/>
    <w:uiPriority w:val="30"/>
    <w:rPr>
      <w:i/>
    </w:rPr>
  </w:style>
  <w:style w:type="paragraph" w:styleId="684">
    <w:name w:val="Header"/>
    <w:basedOn w:val="834"/>
    <w:link w:val="685"/>
    <w:uiPriority w:val="99"/>
    <w:unhideWhenUsed/>
    <w:pPr>
      <w:spacing w:after="0" w:line="240" w:lineRule="auto"/>
      <w:tabs>
        <w:tab w:val="center" w:pos="7143" w:leader="none"/>
        <w:tab w:val="right" w:pos="14287" w:leader="none"/>
      </w:tabs>
    </w:pPr>
  </w:style>
  <w:style w:type="character" w:styleId="685">
    <w:name w:val="Header Char"/>
    <w:link w:val="684"/>
    <w:uiPriority w:val="99"/>
  </w:style>
  <w:style w:type="paragraph" w:styleId="686">
    <w:name w:val="Footer"/>
    <w:basedOn w:val="834"/>
    <w:link w:val="687"/>
    <w:uiPriority w:val="99"/>
    <w:unhideWhenUsed/>
    <w:pPr>
      <w:spacing w:after="0" w:line="240" w:lineRule="auto"/>
      <w:tabs>
        <w:tab w:val="center" w:pos="7143" w:leader="none"/>
        <w:tab w:val="right" w:pos="14287" w:leader="none"/>
      </w:tabs>
    </w:pPr>
  </w:style>
  <w:style w:type="character" w:styleId="687">
    <w:name w:val="Footer Char"/>
    <w:link w:val="686"/>
    <w:uiPriority w:val="99"/>
  </w:style>
  <w:style w:type="paragraph" w:styleId="688">
    <w:name w:val="Caption"/>
    <w:basedOn w:val="834"/>
    <w:next w:val="834"/>
    <w:link w:val="689"/>
    <w:uiPriority w:val="35"/>
    <w:semiHidden/>
    <w:unhideWhenUsed/>
    <w:qFormat/>
    <w:pPr>
      <w:spacing w:line="276" w:lineRule="auto"/>
    </w:pPr>
    <w:rPr>
      <w:b/>
      <w:bCs/>
      <w:color w:val="4f81bd" w:themeColor="accent1"/>
      <w:sz w:val="18"/>
      <w:szCs w:val="18"/>
    </w:rPr>
  </w:style>
  <w:style w:type="character" w:styleId="689">
    <w:name w:val="Caption Char"/>
    <w:link w:val="688"/>
    <w:uiPriority w:val="35"/>
    <w:rPr>
      <w:b/>
      <w:bCs/>
      <w:color w:val="4f81bd" w:themeColor="accent1"/>
      <w:sz w:val="18"/>
      <w:szCs w:val="18"/>
    </w:rPr>
  </w:style>
  <w:style w:type="table" w:styleId="690">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691">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692">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693">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694">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695">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696">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697">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698">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699">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00">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01">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02">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03">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04">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05">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06">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07">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08">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09">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10">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11">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2">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3">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4">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5">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6">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7">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8">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19">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20">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21">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22">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23">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24">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25">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26">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27">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28">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29">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30">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31">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32">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33">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34">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35">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36">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37">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38">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39">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40">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41">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42">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43">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44">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45">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46">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47">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48">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49">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50">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51">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52">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53">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54">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55">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56">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57">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58">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59">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60">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61">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62">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763">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764">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765">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766">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767">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68">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69">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770">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771">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772">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773">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774">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5">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6">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7">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8">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9">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0">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1">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82">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783">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784">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785">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786">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787">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788">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789">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790">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791">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792">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793">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794">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795">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96">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797">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798">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799">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00">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01">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02">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03">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04">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05">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06">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07">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08">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09">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10">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11">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12">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13">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14">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15">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16">
    <w:name w:val="Hyperlink"/>
    <w:uiPriority w:val="99"/>
    <w:unhideWhenUsed/>
    <w:rPr>
      <w:color w:val="0000ff" w:themeColor="hyperlink"/>
      <w:u w:val="single"/>
    </w:rPr>
  </w:style>
  <w:style w:type="paragraph" w:styleId="817">
    <w:name w:val="footnote text"/>
    <w:basedOn w:val="834"/>
    <w:link w:val="818"/>
    <w:uiPriority w:val="99"/>
    <w:semiHidden/>
    <w:unhideWhenUsed/>
    <w:pPr>
      <w:spacing w:after="40" w:line="240" w:lineRule="auto"/>
    </w:pPr>
    <w:rPr>
      <w:sz w:val="18"/>
    </w:rPr>
  </w:style>
  <w:style w:type="character" w:styleId="818">
    <w:name w:val="Footnote Text Char"/>
    <w:link w:val="817"/>
    <w:uiPriority w:val="99"/>
    <w:rPr>
      <w:sz w:val="18"/>
    </w:rPr>
  </w:style>
  <w:style w:type="character" w:styleId="819">
    <w:name w:val="footnote reference"/>
    <w:uiPriority w:val="99"/>
    <w:unhideWhenUsed/>
    <w:rPr>
      <w:vertAlign w:val="superscript"/>
    </w:rPr>
  </w:style>
  <w:style w:type="paragraph" w:styleId="820">
    <w:name w:val="endnote text"/>
    <w:basedOn w:val="834"/>
    <w:link w:val="821"/>
    <w:uiPriority w:val="99"/>
    <w:semiHidden/>
    <w:unhideWhenUsed/>
    <w:pPr>
      <w:spacing w:after="0" w:line="240" w:lineRule="auto"/>
    </w:pPr>
    <w:rPr>
      <w:sz w:val="20"/>
    </w:rPr>
  </w:style>
  <w:style w:type="character" w:styleId="821">
    <w:name w:val="Endnote Text Char"/>
    <w:link w:val="820"/>
    <w:uiPriority w:val="99"/>
    <w:rPr>
      <w:sz w:val="20"/>
    </w:rPr>
  </w:style>
  <w:style w:type="character" w:styleId="822">
    <w:name w:val="endnote reference"/>
    <w:uiPriority w:val="99"/>
    <w:semiHidden/>
    <w:unhideWhenUsed/>
    <w:rPr>
      <w:vertAlign w:val="superscript"/>
    </w:rPr>
  </w:style>
  <w:style w:type="paragraph" w:styleId="823">
    <w:name w:val="toc 1"/>
    <w:basedOn w:val="834"/>
    <w:next w:val="834"/>
    <w:uiPriority w:val="39"/>
    <w:unhideWhenUsed/>
    <w:pPr>
      <w:ind w:left="0" w:right="0" w:firstLine="0"/>
      <w:spacing w:after="57"/>
    </w:pPr>
  </w:style>
  <w:style w:type="paragraph" w:styleId="824">
    <w:name w:val="toc 2"/>
    <w:basedOn w:val="834"/>
    <w:next w:val="834"/>
    <w:uiPriority w:val="39"/>
    <w:unhideWhenUsed/>
    <w:pPr>
      <w:ind w:left="283" w:right="0" w:firstLine="0"/>
      <w:spacing w:after="57"/>
    </w:pPr>
  </w:style>
  <w:style w:type="paragraph" w:styleId="825">
    <w:name w:val="toc 3"/>
    <w:basedOn w:val="834"/>
    <w:next w:val="834"/>
    <w:uiPriority w:val="39"/>
    <w:unhideWhenUsed/>
    <w:pPr>
      <w:ind w:left="567" w:right="0" w:firstLine="0"/>
      <w:spacing w:after="57"/>
    </w:pPr>
  </w:style>
  <w:style w:type="paragraph" w:styleId="826">
    <w:name w:val="toc 4"/>
    <w:basedOn w:val="834"/>
    <w:next w:val="834"/>
    <w:uiPriority w:val="39"/>
    <w:unhideWhenUsed/>
    <w:pPr>
      <w:ind w:left="850" w:right="0" w:firstLine="0"/>
      <w:spacing w:after="57"/>
    </w:pPr>
  </w:style>
  <w:style w:type="paragraph" w:styleId="827">
    <w:name w:val="toc 5"/>
    <w:basedOn w:val="834"/>
    <w:next w:val="834"/>
    <w:uiPriority w:val="39"/>
    <w:unhideWhenUsed/>
    <w:pPr>
      <w:ind w:left="1134" w:right="0" w:firstLine="0"/>
      <w:spacing w:after="57"/>
    </w:pPr>
  </w:style>
  <w:style w:type="paragraph" w:styleId="828">
    <w:name w:val="toc 6"/>
    <w:basedOn w:val="834"/>
    <w:next w:val="834"/>
    <w:uiPriority w:val="39"/>
    <w:unhideWhenUsed/>
    <w:pPr>
      <w:ind w:left="1417" w:right="0" w:firstLine="0"/>
      <w:spacing w:after="57"/>
    </w:pPr>
  </w:style>
  <w:style w:type="paragraph" w:styleId="829">
    <w:name w:val="toc 7"/>
    <w:basedOn w:val="834"/>
    <w:next w:val="834"/>
    <w:uiPriority w:val="39"/>
    <w:unhideWhenUsed/>
    <w:pPr>
      <w:ind w:left="1701" w:right="0" w:firstLine="0"/>
      <w:spacing w:after="57"/>
    </w:pPr>
  </w:style>
  <w:style w:type="paragraph" w:styleId="830">
    <w:name w:val="toc 8"/>
    <w:basedOn w:val="834"/>
    <w:next w:val="834"/>
    <w:uiPriority w:val="39"/>
    <w:unhideWhenUsed/>
    <w:pPr>
      <w:ind w:left="1984" w:right="0" w:firstLine="0"/>
      <w:spacing w:after="57"/>
    </w:pPr>
  </w:style>
  <w:style w:type="paragraph" w:styleId="831">
    <w:name w:val="toc 9"/>
    <w:basedOn w:val="834"/>
    <w:next w:val="834"/>
    <w:uiPriority w:val="39"/>
    <w:unhideWhenUsed/>
    <w:pPr>
      <w:ind w:left="2268" w:right="0" w:firstLine="0"/>
      <w:spacing w:after="57"/>
    </w:pPr>
  </w:style>
  <w:style w:type="paragraph" w:styleId="832">
    <w:name w:val="TOC Heading"/>
    <w:uiPriority w:val="39"/>
    <w:unhideWhenUsed/>
  </w:style>
  <w:style w:type="paragraph" w:styleId="833">
    <w:name w:val="table of figures"/>
    <w:basedOn w:val="834"/>
    <w:next w:val="834"/>
    <w:uiPriority w:val="99"/>
    <w:unhideWhenUsed/>
    <w:pPr>
      <w:spacing w:after="0" w:afterAutospacing="0"/>
    </w:pPr>
  </w:style>
  <w:style w:type="paragraph" w:styleId="834" w:default="1">
    <w:name w:val="Normal"/>
    <w:next w:val="834"/>
    <w:link w:val="834"/>
    <w:qFormat/>
    <w:rPr>
      <w:sz w:val="24"/>
      <w:szCs w:val="24"/>
      <w:lang w:val="ru-RU" w:eastAsia="ru-RU" w:bidi="ar-SA"/>
    </w:rPr>
  </w:style>
  <w:style w:type="paragraph" w:styleId="835">
    <w:name w:val="Заголовок 1"/>
    <w:basedOn w:val="834"/>
    <w:next w:val="834"/>
    <w:link w:val="852"/>
    <w:uiPriority w:val="99"/>
    <w:qFormat/>
    <w:pPr>
      <w:jc w:val="center"/>
      <w:keepNext/>
      <w:shd w:val="clear" w:color="auto" w:fill="ffffff"/>
      <w:outlineLvl w:val="0"/>
    </w:pPr>
    <w:rPr>
      <w:b/>
      <w:bCs/>
      <w:color w:val="000000"/>
      <w:spacing w:val="-6"/>
      <w:sz w:val="22"/>
      <w:szCs w:val="22"/>
    </w:rPr>
  </w:style>
  <w:style w:type="character" w:styleId="836">
    <w:name w:val="Основной шрифт абзаца"/>
    <w:next w:val="836"/>
    <w:link w:val="834"/>
    <w:semiHidden/>
  </w:style>
  <w:style w:type="table" w:styleId="837">
    <w:name w:val="Обычная таблица"/>
    <w:next w:val="837"/>
    <w:link w:val="834"/>
    <w:semiHidden/>
    <w:tblPr/>
  </w:style>
  <w:style w:type="numbering" w:styleId="838">
    <w:name w:val="Нет списка"/>
    <w:next w:val="838"/>
    <w:link w:val="834"/>
    <w:semiHidden/>
  </w:style>
  <w:style w:type="paragraph" w:styleId="839">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834"/>
    <w:next w:val="839"/>
    <w:link w:val="834"/>
    <w:pPr>
      <w:spacing w:after="160" w:line="240" w:lineRule="exact"/>
    </w:pPr>
    <w:rPr>
      <w:sz w:val="20"/>
      <w:szCs w:val="20"/>
      <w:lang w:eastAsia="zh-CN"/>
    </w:rPr>
  </w:style>
  <w:style w:type="character" w:styleId="840">
    <w:name w:val="Гиперссылка"/>
    <w:next w:val="840"/>
    <w:link w:val="834"/>
    <w:rPr>
      <w:color w:val="0000ff"/>
      <w:u w:val="single"/>
    </w:rPr>
  </w:style>
  <w:style w:type="table" w:styleId="841">
    <w:name w:val="Сетка таблицы"/>
    <w:basedOn w:val="837"/>
    <w:next w:val="841"/>
    <w:link w:val="834"/>
    <w:tblPr/>
  </w:style>
  <w:style w:type="paragraph" w:styleId="842">
    <w:name w:val="Верхний колонтитул"/>
    <w:basedOn w:val="834"/>
    <w:next w:val="842"/>
    <w:link w:val="843"/>
    <w:unhideWhenUsed/>
    <w:pPr>
      <w:tabs>
        <w:tab w:val="center" w:pos="4153" w:leader="none"/>
        <w:tab w:val="right" w:pos="8306" w:leader="none"/>
      </w:tabs>
    </w:pPr>
    <w:rPr>
      <w:sz w:val="20"/>
      <w:szCs w:val="20"/>
    </w:rPr>
  </w:style>
  <w:style w:type="character" w:styleId="843">
    <w:name w:val="Верхний колонтитул Знак"/>
    <w:basedOn w:val="836"/>
    <w:next w:val="843"/>
    <w:link w:val="842"/>
  </w:style>
  <w:style w:type="paragraph" w:styleId="844">
    <w:name w:val="Нижний колонтитул"/>
    <w:basedOn w:val="834"/>
    <w:next w:val="844"/>
    <w:link w:val="845"/>
    <w:uiPriority w:val="99"/>
    <w:pPr>
      <w:tabs>
        <w:tab w:val="center" w:pos="4153" w:leader="none"/>
        <w:tab w:val="right" w:pos="8306" w:leader="none"/>
      </w:tabs>
    </w:pPr>
    <w:rPr>
      <w:sz w:val="20"/>
      <w:szCs w:val="20"/>
    </w:rPr>
  </w:style>
  <w:style w:type="character" w:styleId="845">
    <w:name w:val="Нижний колонтитул Знак"/>
    <w:basedOn w:val="836"/>
    <w:next w:val="845"/>
    <w:link w:val="844"/>
    <w:uiPriority w:val="99"/>
  </w:style>
  <w:style w:type="paragraph" w:styleId="846">
    <w:name w:val=" Знак Знак Знак Знак Знак Знак"/>
    <w:basedOn w:val="834"/>
    <w:next w:val="846"/>
    <w:link w:val="836"/>
    <w:pPr>
      <w:spacing w:after="160" w:line="240" w:lineRule="exact"/>
    </w:pPr>
    <w:rPr>
      <w:sz w:val="20"/>
      <w:szCs w:val="20"/>
      <w:lang w:eastAsia="zh-CN"/>
    </w:rPr>
  </w:style>
  <w:style w:type="paragraph" w:styleId="847">
    <w:name w:val=" Знак Знак Знак Знак Знак Знак Знак Знак"/>
    <w:basedOn w:val="834"/>
    <w:next w:val="847"/>
    <w:link w:val="834"/>
    <w:pPr>
      <w:spacing w:after="160" w:line="240" w:lineRule="exact"/>
    </w:pPr>
    <w:rPr>
      <w:sz w:val="20"/>
      <w:szCs w:val="20"/>
      <w:lang w:eastAsia="zh-CN"/>
    </w:rPr>
  </w:style>
  <w:style w:type="paragraph" w:styleId="848">
    <w:name w:val="Текст выноски"/>
    <w:basedOn w:val="834"/>
    <w:next w:val="848"/>
    <w:link w:val="849"/>
    <w:rPr>
      <w:rFonts w:ascii="Segoe UI" w:hAnsi="Segoe UI" w:cs="Segoe UI"/>
      <w:sz w:val="18"/>
      <w:szCs w:val="18"/>
    </w:rPr>
  </w:style>
  <w:style w:type="character" w:styleId="849">
    <w:name w:val="Текст выноски Знак"/>
    <w:next w:val="849"/>
    <w:link w:val="848"/>
    <w:rPr>
      <w:rFonts w:ascii="Segoe UI" w:hAnsi="Segoe UI" w:cs="Segoe UI"/>
      <w:sz w:val="18"/>
      <w:szCs w:val="18"/>
    </w:rPr>
  </w:style>
  <w:style w:type="paragraph" w:styleId="850">
    <w:name w:val="p5"/>
    <w:basedOn w:val="834"/>
    <w:next w:val="850"/>
    <w:link w:val="834"/>
    <w:pPr>
      <w:spacing w:before="100" w:beforeAutospacing="1" w:after="100" w:afterAutospacing="1"/>
    </w:pPr>
  </w:style>
  <w:style w:type="paragraph" w:styleId="851">
    <w:name w:val="Без интервала"/>
    <w:next w:val="851"/>
    <w:link w:val="834"/>
    <w:uiPriority w:val="1"/>
    <w:qFormat/>
    <w:rPr>
      <w:rFonts w:ascii="Calibri" w:hAnsi="Calibri" w:eastAsia="Arial"/>
      <w:sz w:val="22"/>
      <w:szCs w:val="22"/>
      <w:lang w:val="ru-RU" w:eastAsia="ru-RU" w:bidi="ar-SA"/>
    </w:rPr>
  </w:style>
  <w:style w:type="character" w:styleId="852">
    <w:name w:val="Заголовок 1 Знак"/>
    <w:next w:val="852"/>
    <w:link w:val="835"/>
    <w:uiPriority w:val="99"/>
    <w:rPr>
      <w:b/>
      <w:bCs/>
      <w:color w:val="000000"/>
      <w:spacing w:val="-6"/>
      <w:sz w:val="22"/>
      <w:szCs w:val="22"/>
      <w:shd w:val="clear" w:color="auto" w:fill="ffffff"/>
    </w:rPr>
  </w:style>
  <w:style w:type="paragraph" w:styleId="853">
    <w:name w:val="msonormal_mailru_css_attribute_postfix"/>
    <w:basedOn w:val="834"/>
    <w:next w:val="853"/>
    <w:link w:val="834"/>
    <w:pPr>
      <w:spacing w:before="100" w:beforeAutospacing="1" w:after="100" w:afterAutospacing="1"/>
    </w:pPr>
  </w:style>
  <w:style w:type="paragraph" w:styleId="854">
    <w:name w:val="Основной текст"/>
    <w:basedOn w:val="834"/>
    <w:next w:val="854"/>
    <w:link w:val="855"/>
    <w:pPr>
      <w:spacing w:after="120"/>
    </w:pPr>
  </w:style>
  <w:style w:type="character" w:styleId="855">
    <w:name w:val="Основной текст Знак"/>
    <w:next w:val="855"/>
    <w:link w:val="854"/>
    <w:rPr>
      <w:sz w:val="24"/>
      <w:szCs w:val="24"/>
    </w:rPr>
  </w:style>
  <w:style w:type="character" w:styleId="856" w:default="1">
    <w:name w:val="Default Paragraph Font"/>
    <w:uiPriority w:val="1"/>
    <w:semiHidden/>
    <w:unhideWhenUsed/>
  </w:style>
  <w:style w:type="numbering" w:styleId="857" w:default="1">
    <w:name w:val="No List"/>
    <w:uiPriority w:val="99"/>
    <w:semiHidden/>
    <w:unhideWhenUsed/>
  </w:style>
  <w:style w:type="table" w:styleId="858"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Р7-Офис/2025.2.2.831</Application>
  <DocSecurity>0</DocSecurity>
  <HyperlinksChanged>false</HyperlinksChanged>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Екатерина Георгиевна Лабейкина</dc:creator>
  <cp:lastModifiedBy>u4800022</cp:lastModifiedBy>
  <cp:revision>21</cp:revision>
  <dcterms:created xsi:type="dcterms:W3CDTF">2024-06-06T05:10:00Z</dcterms:created>
  <dcterms:modified xsi:type="dcterms:W3CDTF">2026-05-19T06:48:40Z</dcterms:modified>
  <cp:version>1048576</cp:version>
</cp:coreProperties>
</file>