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0"/>
        <w:ind w:left="5954"/>
        <w:jc w:val="right"/>
        <w:rPr>
          <w:sz w:val="28"/>
          <w:lang w:eastAsia="en-US"/>
        </w:rPr>
      </w:pPr>
      <w:r>
        <w:rPr>
          <w:sz w:val="28"/>
          <w:lang w:eastAsia="en-US"/>
        </w:rPr>
        <w:t xml:space="preserve">Генеральному директору </w:t>
      </w:r>
      <w:r>
        <w:rPr>
          <w:sz w:val="28"/>
          <w:lang w:eastAsia="en-US"/>
        </w:rPr>
      </w:r>
    </w:p>
    <w:p>
      <w:pPr>
        <w:pStyle w:val="650"/>
        <w:ind w:left="5954"/>
        <w:jc w:val="right"/>
        <w:rPr>
          <w:sz w:val="28"/>
          <w:lang w:eastAsia="en-US"/>
        </w:rPr>
      </w:pPr>
      <w:r>
        <w:rPr>
          <w:sz w:val="28"/>
          <w:lang w:eastAsia="en-US"/>
        </w:rPr>
        <w:t xml:space="preserve">АО «Газпром газораспределение Дальний Восток»</w:t>
      </w:r>
      <w:r>
        <w:rPr>
          <w:sz w:val="28"/>
          <w:lang w:eastAsia="en-US"/>
        </w:rPr>
      </w:r>
    </w:p>
    <w:p>
      <w:pPr>
        <w:pStyle w:val="650"/>
        <w:ind w:left="5954"/>
        <w:jc w:val="right"/>
        <w:rPr>
          <w:sz w:val="28"/>
          <w:lang w:eastAsia="en-US"/>
        </w:rPr>
      </w:pPr>
      <w:r>
        <w:rPr>
          <w:sz w:val="28"/>
          <w:lang w:eastAsia="en-US"/>
        </w:rPr>
        <w:t xml:space="preserve">А.И. Черкашину</w:t>
      </w:r>
      <w:r>
        <w:rPr>
          <w:sz w:val="28"/>
          <w:lang w:eastAsia="en-US"/>
        </w:rPr>
      </w:r>
    </w:p>
    <w:p>
      <w:pPr>
        <w:pStyle w:val="650"/>
        <w:jc w:val="center"/>
        <w:spacing w:after="120"/>
        <w:rPr>
          <w:b/>
          <w:spacing w:val="60"/>
          <w:sz w:val="26"/>
          <w:szCs w:val="26"/>
        </w:rPr>
      </w:pPr>
      <w:r>
        <w:rPr>
          <w:b/>
          <w:spacing w:val="60"/>
          <w:sz w:val="26"/>
          <w:szCs w:val="26"/>
        </w:rPr>
      </w:r>
      <w:r>
        <w:rPr>
          <w:b/>
          <w:spacing w:val="60"/>
          <w:sz w:val="26"/>
          <w:szCs w:val="26"/>
        </w:rPr>
      </w:r>
    </w:p>
    <w:p>
      <w:pPr>
        <w:pStyle w:val="650"/>
        <w:jc w:val="center"/>
        <w:spacing w:after="120"/>
        <w:rPr>
          <w:b/>
          <w:spacing w:val="60"/>
          <w:sz w:val="26"/>
          <w:szCs w:val="26"/>
        </w:rPr>
      </w:pPr>
      <w:r>
        <w:rPr>
          <w:b/>
          <w:spacing w:val="60"/>
          <w:sz w:val="26"/>
          <w:szCs w:val="26"/>
        </w:rPr>
        <w:t xml:space="preserve">ЗАЯВКА</w:t>
      </w:r>
      <w:r>
        <w:rPr>
          <w:b/>
          <w:spacing w:val="60"/>
          <w:sz w:val="26"/>
          <w:szCs w:val="26"/>
        </w:rPr>
      </w:r>
    </w:p>
    <w:p>
      <w:pPr>
        <w:pStyle w:val="650"/>
        <w:jc w:val="center"/>
        <w:spacing w:after="2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заключении договора о подключении</w:t>
      </w:r>
      <w:r>
        <w:rPr>
          <w:b/>
          <w:sz w:val="26"/>
          <w:szCs w:val="26"/>
        </w:rPr>
        <w:t xml:space="preserve"> в рамках</w:t>
        <w:br w:type="textWrapping" w:clear="all"/>
      </w:r>
      <w:r>
        <w:rPr>
          <w:b/>
          <w:sz w:val="26"/>
          <w:szCs w:val="26"/>
        </w:rPr>
        <w:t xml:space="preserve">догазификации</w:t>
      </w:r>
      <w:r>
        <w:rPr>
          <w:b/>
          <w:sz w:val="26"/>
          <w:szCs w:val="26"/>
        </w:rPr>
        <w:t xml:space="preserve"> котельных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5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z w:val="24"/>
          <w:szCs w:val="24"/>
        </w:rPr>
      </w:r>
    </w:p>
    <w:p>
      <w:pPr>
        <w:pStyle w:val="650"/>
        <w:ind w:left="851"/>
        <w:jc w:val="center"/>
        <w:spacing w:after="120"/>
        <w:pBdr>
          <w:top w:val="single" w:color="000000" w:sz="4" w:space="1"/>
        </w:pBdr>
      </w:pPr>
      <w:r>
        <w:t xml:space="preserve">(полное и сокращенное (при наличии) наименование</w:t>
      </w:r>
      <w:r>
        <w:t xml:space="preserve">,</w:t>
        <w:br w:type="textWrapping" w:clear="all"/>
      </w:r>
      <w:r>
        <w:t xml:space="preserve">организационно-правовая форма</w:t>
      </w:r>
      <w:r>
        <w:t xml:space="preserve"> </w:t>
      </w:r>
      <w:r>
        <w:t xml:space="preserve">заявителя</w:t>
      </w:r>
      <w:r>
        <w:t xml:space="preserve">)</w:t>
      </w:r>
      <w:r/>
    </w:p>
    <w:p>
      <w:pPr>
        <w:pStyle w:val="65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Номер записи в Едином государственном реестре юридических лиц</w:t>
        <w:br w:type="textWrapping" w:clear="all"/>
      </w:r>
      <w:r>
        <w:rPr>
          <w:sz w:val="24"/>
          <w:szCs w:val="24"/>
        </w:rPr>
      </w:r>
    </w:p>
    <w:p>
      <w:pPr>
        <w:pStyle w:val="65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650"/>
        <w:ind w:firstLine="567"/>
        <w:jc w:val="both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3. Место нахождения заявителя, его почтовый адрес</w:t>
        <w:br w:type="textWrapping" w:clear="all"/>
      </w:r>
      <w:r>
        <w:rPr>
          <w:sz w:val="24"/>
          <w:szCs w:val="24"/>
        </w:rPr>
      </w:r>
    </w:p>
    <w:p>
      <w:pPr>
        <w:pStyle w:val="65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65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Телефон, факс, адрес электронной почты заявителя, личный кабинет на сайте газораспределительной организации (иные способы обмена информацией)</w:t>
        <w:br w:type="textWrapping" w:clear="all"/>
      </w:r>
      <w:r>
        <w:rPr>
          <w:sz w:val="24"/>
          <w:szCs w:val="24"/>
        </w:rPr>
      </w:r>
    </w:p>
    <w:p>
      <w:pPr>
        <w:pStyle w:val="65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650"/>
        <w:ind w:firstLine="567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4. В связи с  </w:t>
      </w:r>
      <w:r>
        <w:rPr>
          <w:sz w:val="24"/>
          <w:szCs w:val="24"/>
        </w:rPr>
      </w:r>
    </w:p>
    <w:p>
      <w:pPr>
        <w:pStyle w:val="650"/>
        <w:ind w:left="1871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65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0"/>
        <w:jc w:val="center"/>
        <w:pBdr>
          <w:top w:val="single" w:color="000000" w:sz="4" w:space="1"/>
        </w:pBdr>
      </w:pPr>
      <w:r>
        <w:t xml:space="preserve">(</w:t>
      </w:r>
      <w:r>
        <w:t xml:space="preserve">подключением (технологическим присоединением</w:t>
      </w:r>
      <w:r>
        <w:t xml:space="preserve">)</w:t>
      </w:r>
      <w:r>
        <w:t xml:space="preserve"> к сети газораспределения котельной,</w:t>
        <w:br w:type="textWrapping" w:clear="all"/>
        <w:t xml:space="preserve">увеличением объема потребления газа – указать нужное)</w:t>
      </w:r>
      <w:r/>
    </w:p>
    <w:p>
      <w:pPr>
        <w:pStyle w:val="650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 xml:space="preserve">прошу </w:t>
      </w:r>
      <w:r>
        <w:rPr>
          <w:sz w:val="24"/>
          <w:szCs w:val="24"/>
        </w:rPr>
        <w:t xml:space="preserve">заключить</w:t>
      </w:r>
      <w:r>
        <w:rPr>
          <w:sz w:val="24"/>
          <w:szCs w:val="24"/>
        </w:rPr>
        <w:t xml:space="preserve"> договор 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 подключени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(технологическо</w:t>
      </w:r>
      <w:r>
        <w:rPr>
          <w:sz w:val="24"/>
          <w:szCs w:val="24"/>
        </w:rPr>
        <w:t xml:space="preserve">м</w:t>
      </w:r>
      <w:r>
        <w:rPr>
          <w:sz w:val="24"/>
          <w:szCs w:val="24"/>
        </w:rPr>
        <w:t xml:space="preserve"> присоединени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 газоиспользующего оборудования к</w:t>
      </w:r>
      <w:r>
        <w:rPr>
          <w:sz w:val="24"/>
          <w:szCs w:val="24"/>
        </w:rPr>
        <w:t xml:space="preserve"> сети газораспределения</w:t>
      </w:r>
      <w:r>
        <w:rPr>
          <w:sz w:val="24"/>
          <w:szCs w:val="24"/>
        </w:rPr>
        <w:t xml:space="preserve"> в рамках догазификации котельных</w:t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650"/>
        <w:jc w:val="both"/>
        <w:tabs>
          <w:tab w:val="right" w:pos="9922" w:leader="none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,</w:t>
      </w:r>
      <w:r>
        <w:rPr>
          <w:sz w:val="24"/>
          <w:szCs w:val="24"/>
        </w:rPr>
      </w:r>
    </w:p>
    <w:p>
      <w:pPr>
        <w:pStyle w:val="650"/>
        <w:ind w:right="113"/>
        <w:jc w:val="center"/>
        <w:pBdr>
          <w:top w:val="single" w:color="000000" w:sz="4" w:space="1"/>
        </w:pBdr>
      </w:pPr>
      <w:r>
        <w:t xml:space="preserve">(наименование</w:t>
      </w:r>
      <w:r>
        <w:t xml:space="preserve"> котельной</w:t>
      </w:r>
      <w:r>
        <w:t xml:space="preserve">)</w:t>
      </w:r>
      <w:r/>
    </w:p>
    <w:p>
      <w:pPr>
        <w:pStyle w:val="650"/>
        <w:rPr>
          <w:sz w:val="24"/>
          <w:szCs w:val="24"/>
        </w:rPr>
      </w:pPr>
      <w:r>
        <w:rPr>
          <w:sz w:val="24"/>
          <w:szCs w:val="24"/>
        </w:rPr>
        <w:t xml:space="preserve">расположенной </w:t>
      </w:r>
      <w:r>
        <w:rPr>
          <w:sz w:val="24"/>
          <w:szCs w:val="24"/>
        </w:rPr>
        <w:t xml:space="preserve">(проектируемой) </w:t>
      </w:r>
      <w:r>
        <w:rPr>
          <w:sz w:val="24"/>
          <w:szCs w:val="24"/>
        </w:rPr>
        <w:t xml:space="preserve">по адресу:  </w:t>
      </w:r>
      <w:r>
        <w:rPr>
          <w:sz w:val="24"/>
          <w:szCs w:val="24"/>
        </w:rPr>
      </w:r>
    </w:p>
    <w:p>
      <w:pPr>
        <w:pStyle w:val="650"/>
        <w:ind w:left="461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65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0"/>
        <w:spacing w:after="12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650"/>
        <w:ind w:firstLine="567"/>
        <w:jc w:val="both"/>
        <w:spacing w:before="120"/>
        <w:tabs>
          <w:tab w:val="right" w:pos="990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5. Величина максимального часового расхода газа (мощности) газоиспользующего оборудования (подключаемого и ранее подключенного) составляет  </w:t>
        <w:tab/>
        <w:t xml:space="preserve">куб. метров</w:t>
      </w:r>
      <w:r>
        <w:rPr>
          <w:sz w:val="24"/>
          <w:szCs w:val="24"/>
        </w:rPr>
      </w:r>
    </w:p>
    <w:p>
      <w:pPr>
        <w:pStyle w:val="650"/>
        <w:ind w:left="7019" w:right="1361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650"/>
        <w:rPr>
          <w:sz w:val="24"/>
          <w:szCs w:val="24"/>
        </w:rPr>
      </w:pPr>
      <w:r>
        <w:rPr>
          <w:sz w:val="24"/>
          <w:szCs w:val="24"/>
        </w:rPr>
        <w:t xml:space="preserve">в час, в том числе (в случае одной точки подключения):</w:t>
      </w:r>
      <w:r>
        <w:rPr>
          <w:sz w:val="24"/>
          <w:szCs w:val="24"/>
        </w:rPr>
      </w:r>
    </w:p>
    <w:p>
      <w:pPr>
        <w:pStyle w:val="650"/>
        <w:ind w:firstLine="567"/>
        <w:jc w:val="both"/>
        <w:tabs>
          <w:tab w:val="right" w:pos="720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планируемая величина максимального часового расхода газа (мощности) подключаемого газоиспользующего оборудования  </w:t>
        <w:tab/>
        <w:t xml:space="preserve">куб. метров в час;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0"/>
        <w:ind w:left="3629" w:right="4649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650"/>
        <w:ind w:firstLine="567"/>
        <w:jc w:val="both"/>
        <w:tabs>
          <w:tab w:val="right" w:pos="360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величина максимального часового расхода газа (мощности) газоиспользующего оборудования, ранее подключенного в точке подключения газоиспользующего оборудования,</w:t>
        <w:br w:type="textWrapping" w:clear="all"/>
        <w:tab/>
        <w:t xml:space="preserve">куб. метров в час.</w:t>
      </w:r>
      <w:r>
        <w:rPr>
          <w:sz w:val="24"/>
          <w:szCs w:val="24"/>
        </w:rPr>
      </w:r>
    </w:p>
    <w:p>
      <w:pPr>
        <w:pStyle w:val="650"/>
        <w:ind w:right="8278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650"/>
        <w:ind w:firstLine="567"/>
        <w:jc w:val="both"/>
        <w:tabs>
          <w:tab w:val="right" w:pos="612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Планируемый срок проектирования, строительства и ввода в эксплуатацию котельной</w:t>
        <w:br w:type="textWrapping" w:clear="all"/>
        <w:tab/>
        <w:t xml:space="preserve">(в том числе по этапам и очередям)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0"/>
        <w:ind w:right="7598"/>
        <w:jc w:val="center"/>
        <w:spacing w:after="120"/>
        <w:tabs>
          <w:tab w:val="right" w:pos="9180" w:leader="none"/>
        </w:tabs>
        <w:pBdr>
          <w:top w:val="single" w:color="000000" w:sz="4" w:space="1"/>
        </w:pBdr>
      </w:pPr>
      <w:r>
        <w:t xml:space="preserve">(месяц, год)</w:t>
      </w:r>
      <w:r/>
    </w:p>
    <w:p>
      <w:pPr>
        <w:pStyle w:val="650"/>
        <w:ind w:firstLine="567"/>
        <w:jc w:val="both"/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6. </w:t>
      </w:r>
      <w:r>
        <w:rPr>
          <w:sz w:val="24"/>
          <w:szCs w:val="24"/>
        </w:rPr>
        <w:t xml:space="preserve">Планируемая величина максимального часового расхода газа по каждой из точек подключения (в случае нескольких точек подключения)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9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1E0" w:firstRow="1" w:lastRow="1" w:firstColumn="1" w:lastColumn="1" w:noHBand="0" w:noVBand="0"/>
      </w:tblPr>
      <w:tblGrid>
        <w:gridCol w:w="1134"/>
        <w:gridCol w:w="2211"/>
        <w:gridCol w:w="2211"/>
        <w:gridCol w:w="2211"/>
        <w:gridCol w:w="22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>
              <w:t xml:space="preserve">Точка </w:t>
            </w:r>
            <w:r>
              <w:t xml:space="preserve">подклю-</w:t>
            </w:r>
            <w:r>
              <w:t xml:space="preserve">чения (плани</w:t>
            </w:r>
            <w:r>
              <w:t xml:space="preserve">-</w:t>
            </w:r>
            <w:r>
              <w:t xml:space="preserve">руемая)</w:t>
            </w:r>
            <w:r/>
          </w:p>
        </w:tc>
        <w:tc>
          <w:tcPr>
            <w:tcW w:w="2211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>
              <w:t xml:space="preserve">Планируемый срок проектирова</w:t>
            </w:r>
            <w:r>
              <w:t xml:space="preserve">ния, строительства и ввода</w:t>
              <w:br w:type="textWrapping" w:clear="all"/>
            </w:r>
            <w:r>
              <w:t xml:space="preserve">в эксплуатацию </w:t>
            </w:r>
            <w:r>
              <w:t xml:space="preserve">котельной</w:t>
            </w:r>
            <w:r>
              <w:t xml:space="preserve">, в том</w:t>
              <w:br w:type="textWrapping" w:clear="all"/>
              <w:t xml:space="preserve">числе по этапам</w:t>
              <w:br w:type="textWrapping" w:clear="all"/>
            </w:r>
            <w:r>
              <w:t xml:space="preserve">и очередям</w:t>
              <w:br w:type="textWrapping" w:clear="all"/>
              <w:t xml:space="preserve">(месяц, год)</w:t>
            </w:r>
            <w:r/>
          </w:p>
        </w:tc>
        <w:tc>
          <w:tcPr>
            <w:tcW w:w="2211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>
              <w:t xml:space="preserve">Итоговая величина максимального часового расхода газа (мощности) газоиспользующего оборудования (подключаемого и</w:t>
            </w:r>
            <w:r>
              <w:br w:type="textWrapping" w:clear="all"/>
            </w:r>
            <w:r>
              <w:t xml:space="preserve">ранее подключенного)</w:t>
              <w:br w:type="textWrapping" w:clear="all"/>
              <w:t xml:space="preserve">(куб. метров в час)</w:t>
            </w:r>
            <w:r>
              <w:rPr>
                <w:rStyle w:val="662"/>
              </w:rPr>
              <w:endnoteReference w:id="2"/>
              <w:t xml:space="preserve">1</w:t>
            </w:r>
            <w:r/>
          </w:p>
        </w:tc>
        <w:tc>
          <w:tcPr>
            <w:tcW w:w="2211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>
              <w:t xml:space="preserve">Величина максимального</w:t>
              <w:br w:type="textWrapping" w:clear="all"/>
            </w:r>
            <w:r>
              <w:t xml:space="preserve">расхода газа</w:t>
              <w:br w:type="textWrapping" w:clear="all"/>
            </w:r>
            <w:r>
              <w:t xml:space="preserve">(мощности) подключаемого газоиспользующего оборудования</w:t>
              <w:br w:type="textWrapping" w:clear="all"/>
              <w:t xml:space="preserve">(куб. метров в час)</w:t>
            </w:r>
            <w:r/>
          </w:p>
        </w:tc>
        <w:tc>
          <w:tcPr>
            <w:tcW w:w="2211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>
              <w:t xml:space="preserve">Величина максимального часового расхода газа (мощности) газоиспользующего оборудования, ранее подключенного в точке подключения</w:t>
              <w:br w:type="textWrapping" w:clear="all"/>
              <w:t xml:space="preserve">(куб. метров в час)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/>
            <w:r/>
          </w:p>
        </w:tc>
        <w:tc>
          <w:tcPr>
            <w:tcW w:w="2211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/>
            <w:r/>
          </w:p>
        </w:tc>
        <w:tc>
          <w:tcPr>
            <w:tcW w:w="2211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/>
            <w:r/>
          </w:p>
        </w:tc>
        <w:tc>
          <w:tcPr>
            <w:tcW w:w="2211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/>
            <w:r/>
          </w:p>
        </w:tc>
        <w:tc>
          <w:tcPr>
            <w:tcW w:w="2211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/>
            <w:r/>
          </w:p>
        </w:tc>
        <w:tc>
          <w:tcPr>
            <w:tcW w:w="2211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/>
            <w:r/>
          </w:p>
        </w:tc>
        <w:tc>
          <w:tcPr>
            <w:tcW w:w="2211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/>
            <w:r/>
          </w:p>
        </w:tc>
        <w:tc>
          <w:tcPr>
            <w:tcW w:w="2211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/>
            <w:r/>
          </w:p>
        </w:tc>
        <w:tc>
          <w:tcPr>
            <w:tcW w:w="2211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/>
            <w:r/>
          </w:p>
        </w:tc>
        <w:tc>
          <w:tcPr>
            <w:tcW w:w="2211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/>
            <w:r/>
          </w:p>
        </w:tc>
        <w:tc>
          <w:tcPr>
            <w:tcW w:w="2211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/>
            <w:r/>
          </w:p>
        </w:tc>
        <w:tc>
          <w:tcPr>
            <w:tcW w:w="2211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/>
            <w:r/>
          </w:p>
        </w:tc>
        <w:tc>
          <w:tcPr>
            <w:tcW w:w="2211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tabs>
                <w:tab w:val="right" w:pos="9180" w:leader="none"/>
              </w:tabs>
            </w:pPr>
            <w:r/>
            <w:r/>
          </w:p>
        </w:tc>
      </w:tr>
    </w:tbl>
    <w:p>
      <w:pPr>
        <w:pStyle w:val="650"/>
        <w:jc w:val="both"/>
      </w:pPr>
      <w:r/>
      <w:r/>
    </w:p>
    <w:p>
      <w:pPr>
        <w:pStyle w:val="65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 Характеристика потребления газа (вид экономической деятельности заявителя)</w:t>
        <w:br w:type="textWrapping" w:clear="all"/>
      </w:r>
      <w:r>
        <w:rPr>
          <w:sz w:val="24"/>
          <w:szCs w:val="24"/>
        </w:rPr>
      </w:r>
    </w:p>
    <w:p>
      <w:pPr>
        <w:pStyle w:val="650"/>
        <w:jc w:val="both"/>
        <w:tabs>
          <w:tab w:val="right" w:pos="9180" w:leader="none"/>
        </w:tabs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650"/>
        <w:ind w:firstLine="567"/>
        <w:jc w:val="both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8. Номер и дата ранее выданных технических условий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0"/>
        <w:ind w:left="6265"/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65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0"/>
        <w:jc w:val="center"/>
        <w:pBdr>
          <w:top w:val="single" w:color="000000" w:sz="4" w:space="1"/>
        </w:pBdr>
      </w:pPr>
      <w:r>
        <w:t xml:space="preserve">(при наличии ранее выданных технических условий и при условии,</w:t>
        <w:br w:type="textWrapping" w:clear="all"/>
        <w:t xml:space="preserve">что срок их действия не истек)</w:t>
      </w:r>
      <w:r/>
    </w:p>
    <w:p>
      <w:pPr>
        <w:pStyle w:val="65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 Дополнительная информация  </w:t>
      </w:r>
      <w:r>
        <w:rPr>
          <w:sz w:val="24"/>
          <w:szCs w:val="24"/>
        </w:rPr>
      </w:r>
    </w:p>
    <w:p>
      <w:pPr>
        <w:pStyle w:val="650"/>
        <w:ind w:left="3952"/>
        <w:jc w:val="center"/>
        <w:pBdr>
          <w:top w:val="single" w:color="000000" w:sz="4" w:space="1"/>
        </w:pBdr>
      </w:pPr>
      <w:r>
        <w:t xml:space="preserve">(заполняется по инициативе заявителя)</w:t>
      </w:r>
      <w:r/>
    </w:p>
    <w:p>
      <w:pPr>
        <w:pStyle w:val="65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</w:t>
      </w:r>
      <w:r>
        <w:rPr>
          <w:sz w:val="24"/>
          <w:szCs w:val="24"/>
        </w:rPr>
        <w:t xml:space="preserve">. Результаты рассмотрения </w:t>
      </w:r>
      <w:r>
        <w:rPr>
          <w:sz w:val="24"/>
          <w:szCs w:val="24"/>
        </w:rPr>
        <w:t xml:space="preserve">настоящей </w:t>
      </w:r>
      <w:r>
        <w:rPr>
          <w:sz w:val="24"/>
          <w:szCs w:val="24"/>
        </w:rPr>
        <w:t xml:space="preserve">заявки прошу направить (выбрать </w:t>
      </w:r>
      <w:r>
        <w:rPr>
          <w:sz w:val="24"/>
          <w:szCs w:val="24"/>
        </w:rPr>
        <w:t xml:space="preserve">один из способов уведомления)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0"/>
        <w:ind w:left="2523"/>
        <w:jc w:val="center"/>
        <w:spacing w:after="240"/>
        <w:pBdr>
          <w:top w:val="single" w:color="000000" w:sz="4" w:space="1"/>
        </w:pBdr>
      </w:pPr>
      <w:r>
        <w:t xml:space="preserve">(на адрес </w:t>
      </w:r>
      <w:r>
        <w:t xml:space="preserve">электронной почты, СМС-уведомление</w:t>
      </w:r>
      <w:r>
        <w:t xml:space="preserve"> на телефон, заказным письмом посредством почтовой связи по адресу)</w:t>
      </w:r>
      <w:r/>
    </w:p>
    <w:p>
      <w:pPr>
        <w:pStyle w:val="65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Приложения</w:t>
      </w:r>
      <w:r>
        <w:rPr>
          <w:sz w:val="24"/>
          <w:szCs w:val="24"/>
        </w:rPr>
        <w:t xml:space="preserve"> </w:t>
      </w:r>
      <w:r>
        <w:rPr>
          <w:rStyle w:val="662"/>
          <w:sz w:val="24"/>
          <w:szCs w:val="24"/>
        </w:rPr>
        <w:endnoteReference w:id="3"/>
        <w:t xml:space="preserve">2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>
      <w:pPr>
        <w:pStyle w:val="65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z w:val="24"/>
          <w:szCs w:val="24"/>
        </w:rPr>
      </w:r>
    </w:p>
    <w:p>
      <w:pPr>
        <w:pStyle w:val="650"/>
        <w:ind w:left="851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65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>
        <w:rPr>
          <w:sz w:val="24"/>
          <w:szCs w:val="24"/>
        </w:rPr>
      </w:r>
    </w:p>
    <w:p>
      <w:pPr>
        <w:pStyle w:val="650"/>
        <w:ind w:left="851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65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>
        <w:rPr>
          <w:sz w:val="24"/>
          <w:szCs w:val="24"/>
        </w:rPr>
      </w:r>
    </w:p>
    <w:p>
      <w:pPr>
        <w:pStyle w:val="650"/>
        <w:ind w:left="851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65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>
        <w:rPr>
          <w:sz w:val="24"/>
          <w:szCs w:val="24"/>
        </w:rPr>
      </w:r>
    </w:p>
    <w:p>
      <w:pPr>
        <w:pStyle w:val="650"/>
        <w:ind w:left="851"/>
        <w:spacing w:after="36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650"/>
        <w:rPr>
          <w:sz w:val="24"/>
          <w:szCs w:val="24"/>
        </w:rPr>
      </w:pPr>
      <w:r>
        <w:rPr>
          <w:sz w:val="24"/>
          <w:szCs w:val="24"/>
        </w:rPr>
        <w:t xml:space="preserve">Заявитель</w:t>
      </w:r>
      <w:r>
        <w:rPr>
          <w:sz w:val="24"/>
          <w:szCs w:val="24"/>
        </w:rPr>
      </w:r>
    </w:p>
    <w:tbl>
      <w:tblPr>
        <w:tblW w:w="10011" w:type="dxa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1E0" w:firstRow="1" w:lastRow="1" w:firstColumn="1" w:lastColumn="1" w:noHBand="0" w:noVBand="0"/>
      </w:tblPr>
      <w:tblGrid>
        <w:gridCol w:w="10011"/>
      </w:tblGrid>
      <w:tr>
        <w:tblPrEx/>
        <w:trPr>
          <w:trHeight w:val="266"/>
        </w:trPr>
        <w:tc>
          <w:tcPr>
            <w:tcBorders>
              <w:bottom w:val="single" w:color="000000" w:sz="4" w:space="0"/>
            </w:tcBorders>
            <w:tcW w:w="10011" w:type="dxa"/>
            <w:vAlign w:val="bottom"/>
            <w:textDirection w:val="lrTb"/>
            <w:noWrap w:val="false"/>
          </w:tcPr>
          <w:p>
            <w:pPr>
              <w:pStyle w:val="6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66"/>
        </w:trPr>
        <w:tc>
          <w:tcPr>
            <w:tcBorders>
              <w:top w:val="single" w:color="000000" w:sz="4" w:space="0"/>
            </w:tcBorders>
            <w:tcW w:w="10011" w:type="dxa"/>
            <w:vAlign w:val="bottom"/>
            <w:textDirection w:val="lrTb"/>
            <w:noWrap w:val="false"/>
          </w:tcPr>
          <w:p>
            <w:pPr>
              <w:pStyle w:val="650"/>
              <w:jc w:val="center"/>
              <w:rPr>
                <w:sz w:val="24"/>
                <w:szCs w:val="24"/>
              </w:rPr>
            </w:pPr>
            <w:r>
              <w:t xml:space="preserve">(должность, фамилия, имя, отчество</w:t>
              <w:br w:type="textWrapping" w:clear="all"/>
              <w:t xml:space="preserve">(при наличии) лица, действующего</w:t>
              <w:br w:type="textWrapping" w:clear="all"/>
              <w:t xml:space="preserve">от имени заявителя)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66"/>
        </w:trPr>
        <w:tc>
          <w:tcPr>
            <w:tcBorders>
              <w:bottom w:val="single" w:color="000000" w:sz="4" w:space="0"/>
            </w:tcBorders>
            <w:tcW w:w="10011" w:type="dxa"/>
            <w:vAlign w:val="bottom"/>
            <w:textDirection w:val="lrTb"/>
            <w:noWrap w:val="false"/>
          </w:tcPr>
          <w:p>
            <w:pPr>
              <w:pStyle w:val="6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65"/>
        </w:trPr>
        <w:tc>
          <w:tcPr>
            <w:tcBorders>
              <w:top w:val="single" w:color="000000" w:sz="4" w:space="0"/>
            </w:tcBorders>
            <w:tcW w:w="10011" w:type="dxa"/>
            <w:vAlign w:val="top"/>
            <w:textDirection w:val="lrTb"/>
            <w:noWrap w:val="false"/>
          </w:tcPr>
          <w:p>
            <w:pPr>
              <w:pStyle w:val="650"/>
              <w:jc w:val="center"/>
            </w:pPr>
            <w:r>
              <w:t xml:space="preserve">(контактный телефон)</w:t>
            </w:r>
            <w:r/>
          </w:p>
        </w:tc>
      </w:tr>
    </w:tbl>
    <w:p>
      <w:pPr>
        <w:pStyle w:val="650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0" w:type="auto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1E0" w:firstRow="1" w:lastRow="1" w:firstColumn="1" w:lastColumn="1" w:noHBand="0" w:noVBand="0"/>
      </w:tblPr>
      <w:tblGrid>
        <w:gridCol w:w="1814"/>
      </w:tblGrid>
      <w:tr>
        <w:tblPrEx/>
        <w:trPr>
          <w:trHeight w:val="276"/>
        </w:trPr>
        <w:tc>
          <w:tcPr>
            <w:tcBorders>
              <w:bottom w:val="single" w:color="000000" w:sz="4" w:space="0"/>
            </w:tcBorders>
            <w:tcW w:w="1814" w:type="dxa"/>
            <w:vAlign w:val="bottom"/>
            <w:textDirection w:val="lrTb"/>
            <w:noWrap w:val="false"/>
          </w:tcPr>
          <w:p>
            <w:pPr>
              <w:pStyle w:val="6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single" w:color="000000" w:sz="4" w:space="0"/>
            </w:tcBorders>
            <w:tcW w:w="1814" w:type="dxa"/>
            <w:vAlign w:val="top"/>
            <w:textDirection w:val="lrTb"/>
            <w:noWrap w:val="false"/>
          </w:tcPr>
          <w:p>
            <w:pPr>
              <w:pStyle w:val="650"/>
              <w:jc w:val="center"/>
            </w:pPr>
            <w:r>
              <w:t xml:space="preserve">(подпись)</w:t>
            </w:r>
            <w:r/>
          </w:p>
        </w:tc>
      </w:tr>
    </w:tbl>
    <w:p>
      <w:pPr>
        <w:pStyle w:val="650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0" w:type="auto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701"/>
        <w:gridCol w:w="397"/>
        <w:gridCol w:w="397"/>
        <w:gridCol w:w="392"/>
      </w:tblGrid>
      <w:tr>
        <w:tblPrEx/>
        <w:trPr/>
        <w:tc>
          <w:tcPr>
            <w:tcW w:w="198" w:type="dxa"/>
            <w:vAlign w:val="bottom"/>
            <w:textDirection w:val="lrTb"/>
            <w:noWrap w:val="false"/>
          </w:tcPr>
          <w:p>
            <w:pPr>
              <w:pStyle w:val="65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6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" w:type="dxa"/>
            <w:vAlign w:val="bottom"/>
            <w:textDirection w:val="lrTb"/>
            <w:noWrap w:val="false"/>
          </w:tcPr>
          <w:p>
            <w:pPr>
              <w:pStyle w:val="6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pStyle w:val="6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vAlign w:val="bottom"/>
            <w:textDirection w:val="lrTb"/>
            <w:noWrap w:val="false"/>
          </w:tcPr>
          <w:p>
            <w:pPr>
              <w:pStyle w:val="65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6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92" w:type="dxa"/>
            <w:vAlign w:val="bottom"/>
            <w:textDirection w:val="lrTb"/>
            <w:noWrap w:val="false"/>
          </w:tcPr>
          <w:p>
            <w:pPr>
              <w:pStyle w:val="65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50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М.П.</w:t>
      </w:r>
      <w:r>
        <w:rPr>
          <w:sz w:val="24"/>
          <w:szCs w:val="24"/>
        </w:rPr>
      </w:r>
    </w:p>
    <w:p>
      <w:pPr>
        <w:pStyle w:val="65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8"/>
      <w:footnotePr/>
      <w:endnotePr>
        <w:numFmt w:val="decimal"/>
      </w:endnotePr>
      <w:type w:val="nextPage"/>
      <w:pgSz w:w="11906" w:h="16838" w:orient="portrait"/>
      <w:pgMar w:top="709" w:right="851" w:bottom="142" w:left="1134" w:header="397" w:footer="397" w:gutter="0"/>
      <w:rtlGutter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  <w:endnote w:id="2">
    <w:p>
      <w:pPr>
        <w:pStyle w:val="660"/>
        <w:jc w:val="both"/>
      </w:pPr>
      <w:r>
        <w:rPr>
          <w:rStyle w:val="662"/>
        </w:rPr>
        <w:t xml:space="preserve">1</w:t>
      </w:r>
      <w:r>
        <w:endnoteRef/>
        <w:t xml:space="preserve"> Итоговая величина максималь</w:t>
      </w:r>
      <w:r>
        <w:t xml:space="preserve">ного часового расхода газа (мощности) газоиспользующего оборудования (подключаемого и ранее подключенного) является суммой величины максимального часового расхода газа (мощности) газоиспользующего оборудования, подключаемого в точке подключения, и величины</w:t>
      </w:r>
      <w:r>
        <w:t xml:space="preserve"> максимального часового расхода газа (мощности) газоиспользующего оборудования, ранее подключенного в этой же точке подключения.</w:t>
      </w:r>
      <w:r/>
    </w:p>
  </w:endnote>
  <w:endnote w:id="3">
    <w:p>
      <w:pPr>
        <w:pStyle w:val="660"/>
        <w:jc w:val="both"/>
      </w:pPr>
      <w:r>
        <w:rPr>
          <w:rStyle w:val="662"/>
        </w:rPr>
        <w:t xml:space="preserve">2</w:t>
      </w:r>
      <w:r>
        <w:endnoteRef/>
        <w:t xml:space="preserve"> </w:t>
      </w:r>
      <w:r>
        <w:t xml:space="preserve">В целях заключения договора о подключении (технологическом присоединении) газоиспользующего оборудования к газораспределительным сетям в рамках догазификации </w:t>
      </w:r>
      <w:r>
        <w:t xml:space="preserve">котельных </w:t>
      </w:r>
      <w:r>
        <w:t xml:space="preserve">к настоящей заявке прилагаются документы, пр</w:t>
      </w:r>
      <w:r>
        <w:t xml:space="preserve">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</w:t>
      </w:r>
      <w:r>
        <w:t xml:space="preserve">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4"/>
      <w:jc w:val="right"/>
      <w:tabs>
        <w:tab w:val="clear" w:pos="4677" w:leader="none"/>
        <w:tab w:val="clear" w:pos="9355" w:leader="none"/>
      </w:tabs>
      <w:rPr>
        <w:sz w:val="14"/>
        <w:szCs w:val="14"/>
      </w:rPr>
    </w:pPr>
    <w:r>
      <w:rPr>
        <w:sz w:val="14"/>
        <w:szCs w:val="14"/>
      </w:rPr>
    </w:r>
    <w:r>
      <w:rPr>
        <w:sz w:val="14"/>
        <w:szCs w:val="14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0"/>
    <w:next w:val="65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0"/>
    <w:next w:val="65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0"/>
    <w:next w:val="65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0"/>
    <w:next w:val="65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0"/>
    <w:next w:val="65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0"/>
    <w:next w:val="65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0"/>
    <w:next w:val="65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0"/>
    <w:next w:val="65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0"/>
    <w:next w:val="65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0"/>
    <w:next w:val="65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50"/>
    <w:next w:val="65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50"/>
    <w:next w:val="65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0"/>
    <w:next w:val="65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5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50"/>
    <w:next w:val="65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5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50"/>
    <w:next w:val="65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0"/>
    <w:next w:val="65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0"/>
    <w:next w:val="65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0"/>
    <w:next w:val="65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0"/>
    <w:next w:val="65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0"/>
    <w:next w:val="65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0"/>
    <w:next w:val="65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0"/>
    <w:next w:val="65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0"/>
    <w:next w:val="65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0"/>
    <w:next w:val="650"/>
    <w:uiPriority w:val="99"/>
    <w:unhideWhenUsed/>
    <w:pPr>
      <w:spacing w:after="0" w:afterAutospacing="0"/>
    </w:pPr>
  </w:style>
  <w:style w:type="paragraph" w:styleId="650" w:default="1">
    <w:name w:val="Normal"/>
    <w:next w:val="650"/>
    <w:link w:val="650"/>
    <w:qFormat/>
    <w:rPr>
      <w:lang w:val="ru-RU" w:eastAsia="ru-RU" w:bidi="ar-SA"/>
    </w:rPr>
  </w:style>
  <w:style w:type="character" w:styleId="651">
    <w:name w:val="Основной шрифт абзаца"/>
    <w:next w:val="651"/>
    <w:link w:val="650"/>
    <w:uiPriority w:val="1"/>
    <w:semiHidden/>
    <w:unhideWhenUsed/>
  </w:style>
  <w:style w:type="table" w:styleId="652">
    <w:name w:val="Обычная таблица"/>
    <w:next w:val="652"/>
    <w:link w:val="650"/>
    <w:uiPriority w:val="99"/>
    <w:semiHidden/>
    <w:unhideWhenUsed/>
    <w:tblPr/>
  </w:style>
  <w:style w:type="numbering" w:styleId="653">
    <w:name w:val="Нет списка"/>
    <w:next w:val="653"/>
    <w:link w:val="650"/>
    <w:uiPriority w:val="99"/>
    <w:semiHidden/>
    <w:unhideWhenUsed/>
  </w:style>
  <w:style w:type="paragraph" w:styleId="654">
    <w:name w:val="Верхний колонтитул"/>
    <w:basedOn w:val="650"/>
    <w:next w:val="654"/>
    <w:link w:val="655"/>
    <w:uiPriority w:val="99"/>
    <w:pPr>
      <w:tabs>
        <w:tab w:val="center" w:pos="4677" w:leader="none"/>
        <w:tab w:val="right" w:pos="9355" w:leader="none"/>
      </w:tabs>
    </w:pPr>
    <w:rPr>
      <w:sz w:val="24"/>
      <w:szCs w:val="24"/>
    </w:rPr>
  </w:style>
  <w:style w:type="character" w:styleId="655">
    <w:name w:val="Верхний колонтитул Знак"/>
    <w:next w:val="655"/>
    <w:link w:val="654"/>
    <w:uiPriority w:val="99"/>
    <w:semiHidden/>
    <w:rPr>
      <w:sz w:val="20"/>
      <w:szCs w:val="20"/>
    </w:rPr>
  </w:style>
  <w:style w:type="paragraph" w:styleId="656">
    <w:name w:val="Нижний колонтитул"/>
    <w:basedOn w:val="650"/>
    <w:next w:val="656"/>
    <w:link w:val="657"/>
    <w:uiPriority w:val="99"/>
    <w:pPr>
      <w:tabs>
        <w:tab w:val="center" w:pos="4677" w:leader="none"/>
        <w:tab w:val="right" w:pos="9355" w:leader="none"/>
      </w:tabs>
    </w:pPr>
    <w:rPr>
      <w:sz w:val="24"/>
      <w:szCs w:val="24"/>
    </w:rPr>
  </w:style>
  <w:style w:type="character" w:styleId="657">
    <w:name w:val="Нижний колонтитул Знак"/>
    <w:next w:val="657"/>
    <w:link w:val="656"/>
    <w:uiPriority w:val="99"/>
    <w:semiHidden/>
    <w:rPr>
      <w:sz w:val="20"/>
      <w:szCs w:val="20"/>
    </w:rPr>
  </w:style>
  <w:style w:type="paragraph" w:styleId="658">
    <w:name w:val="Текст сноски"/>
    <w:basedOn w:val="650"/>
    <w:next w:val="658"/>
    <w:link w:val="659"/>
    <w:uiPriority w:val="99"/>
    <w:semiHidden/>
  </w:style>
  <w:style w:type="character" w:styleId="659">
    <w:name w:val="Текст сноски Знак"/>
    <w:next w:val="659"/>
    <w:link w:val="658"/>
    <w:uiPriority w:val="99"/>
    <w:semiHidden/>
    <w:rPr>
      <w:sz w:val="20"/>
      <w:szCs w:val="20"/>
    </w:rPr>
  </w:style>
  <w:style w:type="paragraph" w:styleId="660">
    <w:name w:val="Текст концевой сноски"/>
    <w:basedOn w:val="650"/>
    <w:next w:val="660"/>
    <w:link w:val="661"/>
    <w:uiPriority w:val="99"/>
    <w:semiHidden/>
  </w:style>
  <w:style w:type="character" w:styleId="661">
    <w:name w:val="Текст концевой сноски Знак"/>
    <w:next w:val="661"/>
    <w:link w:val="660"/>
    <w:uiPriority w:val="99"/>
    <w:semiHidden/>
    <w:rPr>
      <w:sz w:val="20"/>
      <w:szCs w:val="20"/>
    </w:rPr>
  </w:style>
  <w:style w:type="character" w:styleId="662">
    <w:name w:val="Знак концевой сноски"/>
    <w:next w:val="662"/>
    <w:link w:val="650"/>
    <w:uiPriority w:val="99"/>
    <w:semiHidden/>
    <w:rPr>
      <w:rFonts w:cs="Times New Roman"/>
      <w:vertAlign w:val="superscript"/>
    </w:rPr>
  </w:style>
  <w:style w:type="table" w:styleId="663">
    <w:name w:val="Сетка таблицы"/>
    <w:basedOn w:val="652"/>
    <w:next w:val="663"/>
    <w:link w:val="650"/>
    <w:uiPriority w:val="99"/>
    <w:pPr>
      <w:spacing w:after="0" w:line="240" w:lineRule="auto"/>
    </w:pPr>
    <w:rPr>
      <w:sz w:val="20"/>
      <w:szCs w:val="20"/>
    </w:rPr>
    <w:tblPr/>
  </w:style>
  <w:style w:type="paragraph" w:styleId="664">
    <w:name w:val="Текст выноски"/>
    <w:basedOn w:val="650"/>
    <w:next w:val="664"/>
    <w:link w:val="665"/>
    <w:uiPriority w:val="99"/>
    <w:semiHidden/>
    <w:rPr>
      <w:rFonts w:ascii="Tahoma" w:hAnsi="Tahoma" w:cs="Tahoma"/>
      <w:sz w:val="16"/>
      <w:szCs w:val="16"/>
    </w:rPr>
  </w:style>
  <w:style w:type="character" w:styleId="665">
    <w:name w:val="Текст выноски Знак"/>
    <w:next w:val="665"/>
    <w:link w:val="664"/>
    <w:uiPriority w:val="99"/>
    <w:semiHidden/>
    <w:rPr>
      <w:rFonts w:ascii="Segoe UI" w:hAnsi="Segoe UI" w:cs="Segoe UI"/>
      <w:sz w:val="18"/>
      <w:szCs w:val="18"/>
    </w:rPr>
  </w:style>
  <w:style w:type="character" w:styleId="1361" w:default="1">
    <w:name w:val="Default Paragraph Font"/>
    <w:uiPriority w:val="1"/>
    <w:semiHidden/>
    <w:unhideWhenUsed/>
  </w:style>
  <w:style w:type="numbering" w:styleId="1362" w:default="1">
    <w:name w:val="No List"/>
    <w:uiPriority w:val="99"/>
    <w:semiHidden/>
    <w:unhideWhenUsed/>
  </w:style>
  <w:style w:type="table" w:styleId="136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КонсультантПлюс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revision>3</cp:revision>
  <dcterms:created xsi:type="dcterms:W3CDTF">2023-03-03T09:09:00Z</dcterms:created>
  <dcterms:modified xsi:type="dcterms:W3CDTF">2026-07-15T04:04:11Z</dcterms:modified>
  <cp:version>983040</cp:version>
</cp:coreProperties>
</file>